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28003B">
        <w:rPr>
          <w:rFonts w:ascii="Tahoma" w:hAnsi="Tahoma" w:cs="Tahoma"/>
          <w:sz w:val="18"/>
          <w:szCs w:val="18"/>
        </w:rPr>
        <w:t>Katarzyna Jagiełło</w:t>
      </w:r>
      <w:r w:rsidR="00A44747">
        <w:rPr>
          <w:rFonts w:ascii="Tahoma" w:hAnsi="Tahoma" w:cs="Tahoma"/>
          <w:sz w:val="18"/>
          <w:szCs w:val="18"/>
        </w:rPr>
        <w:t>,</w:t>
      </w:r>
      <w:r w:rsidR="009C2A60" w:rsidRPr="009C2A60">
        <w:rPr>
          <w:rFonts w:ascii="Tahoma" w:hAnsi="Tahoma" w:cs="Tahoma"/>
          <w:sz w:val="18"/>
          <w:szCs w:val="18"/>
        </w:rPr>
        <w:t xml:space="preserve"> tel. 571 334 </w:t>
      </w:r>
      <w:r w:rsidR="001A4CC6">
        <w:rPr>
          <w:rFonts w:ascii="Tahoma" w:hAnsi="Tahoma" w:cs="Tahoma"/>
          <w:sz w:val="18"/>
          <w:szCs w:val="18"/>
        </w:rPr>
        <w:t>858</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28003B">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D276FE">
        <w:rPr>
          <w:rFonts w:ascii="Tahoma" w:hAnsi="Tahoma" w:cs="Tahoma"/>
          <w:b/>
          <w:color w:val="0070C0"/>
          <w:sz w:val="24"/>
          <w:szCs w:val="24"/>
        </w:rPr>
        <w:t>nici chirurgicznych</w:t>
      </w:r>
      <w:r w:rsidR="0028003B">
        <w:rPr>
          <w:rFonts w:ascii="Tahoma" w:hAnsi="Tahoma" w:cs="Tahoma"/>
          <w:b/>
          <w:color w:val="0070C0"/>
          <w:sz w:val="24"/>
          <w:szCs w:val="24"/>
        </w:rPr>
        <w:t xml:space="preserve"> oraz </w:t>
      </w:r>
      <w:r w:rsidR="00D276FE">
        <w:rPr>
          <w:rFonts w:ascii="Tahoma" w:hAnsi="Tahoma" w:cs="Tahoma"/>
          <w:b/>
          <w:color w:val="0070C0"/>
          <w:sz w:val="24"/>
          <w:szCs w:val="24"/>
        </w:rPr>
        <w:t>różnych materiałów szewnych.</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D151BF" w:rsidRDefault="009E643E" w:rsidP="004F58A5">
      <w:pPr>
        <w:rPr>
          <w:rFonts w:ascii="Tahoma" w:hAnsi="Tahoma" w:cs="Tahoma"/>
          <w:strike/>
          <w:color w:val="0070C0"/>
          <w:sz w:val="18"/>
          <w:szCs w:val="18"/>
        </w:rPr>
      </w:pPr>
      <w:r w:rsidRPr="00D151BF">
        <w:rPr>
          <w:rFonts w:ascii="Tahoma" w:hAnsi="Tahoma"/>
          <w:strike/>
          <w:sz w:val="18"/>
          <w:szCs w:val="18"/>
        </w:rPr>
        <w:t>7</w:t>
      </w:r>
      <w:r w:rsidR="004F58A5" w:rsidRPr="00D151BF">
        <w:rPr>
          <w:rFonts w:ascii="Tahoma" w:hAnsi="Tahoma"/>
          <w:strike/>
          <w:sz w:val="18"/>
          <w:szCs w:val="18"/>
        </w:rPr>
        <w:t xml:space="preserve">.  Zobowiązanie podmiotów trzecich dot. oddania zasobów </w:t>
      </w:r>
      <w:r w:rsidR="004C3E2A" w:rsidRPr="00D151BF">
        <w:rPr>
          <w:rFonts w:ascii="Tahoma" w:hAnsi="Tahoma" w:cs="Tahoma"/>
          <w:strike/>
          <w:color w:val="0070C0"/>
          <w:sz w:val="18"/>
          <w:szCs w:val="18"/>
        </w:rPr>
        <w:t>(w</w:t>
      </w:r>
      <w:r w:rsidR="00307762" w:rsidRPr="00D151BF">
        <w:rPr>
          <w:rFonts w:ascii="Tahoma" w:hAnsi="Tahoma" w:cs="Tahoma"/>
          <w:strike/>
          <w:color w:val="0070C0"/>
          <w:sz w:val="18"/>
          <w:szCs w:val="18"/>
        </w:rPr>
        <w:t>ypełniony załączyć do oferty – jeżeli</w:t>
      </w:r>
    </w:p>
    <w:p w:rsidR="004F58A5" w:rsidRPr="00D151BF" w:rsidRDefault="004C3E2A" w:rsidP="004F58A5">
      <w:pPr>
        <w:rPr>
          <w:rFonts w:ascii="Tahoma" w:hAnsi="Tahoma" w:cs="Tahoma"/>
          <w:strike/>
          <w:color w:val="0070C0"/>
          <w:sz w:val="18"/>
          <w:szCs w:val="18"/>
        </w:rPr>
      </w:pPr>
      <w:r w:rsidRPr="00D151BF">
        <w:rPr>
          <w:rFonts w:ascii="Tahoma" w:hAnsi="Tahoma" w:cs="Tahoma"/>
          <w:strike/>
          <w:color w:val="0070C0"/>
          <w:sz w:val="18"/>
          <w:szCs w:val="18"/>
        </w:rPr>
        <w:t xml:space="preserve">                                                                                              </w:t>
      </w:r>
      <w:r w:rsidR="00307762" w:rsidRPr="00D151BF">
        <w:rPr>
          <w:rFonts w:ascii="Tahoma" w:hAnsi="Tahoma" w:cs="Tahoma"/>
          <w:strike/>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E1507C"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28003B" w:rsidP="0028003B">
      <w:pPr>
        <w:spacing w:after="120"/>
        <w:ind w:left="142"/>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niegraniczonego poniżej 214 000 euro zgodnie z przepisami ustawy z dnia 29 stycznia 2004 r. Prawo zamówień publicznych (tj. Dz.U. z 2019 poz. 1843),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sz w:val="18"/>
          <w:szCs w:val="18"/>
        </w:rPr>
        <w:t xml:space="preserve"> Rozporządzeniem Prezesa Rady Ministrów z dnia 18 grudnia 2019r. w sprawie średniego kursu złotego w stosunku do euro, stanowiącego podstawę przeliczenia wartości zamówień publicznych (Dz. U. z 2019 Nr 2453), Rozporządzeniem Ministra Rozwoju z dnia 26 lipca 2016r. w sprawie rodzaju dokumentów, jakich może żądać Zamawiający od Wykonawcy w postępowaniu o udzielenie zamówienia (Dz. U. z 2016r., poz. 1126 z </w:t>
      </w:r>
      <w:proofErr w:type="spellStart"/>
      <w:r>
        <w:rPr>
          <w:rFonts w:ascii="Tahoma" w:hAnsi="Tahoma" w:cs="Tahoma"/>
          <w:sz w:val="18"/>
          <w:szCs w:val="18"/>
        </w:rPr>
        <w:t>późn</w:t>
      </w:r>
      <w:proofErr w:type="spellEnd"/>
      <w:r>
        <w:rPr>
          <w:rFonts w:ascii="Tahoma" w:hAnsi="Tahoma" w:cs="Tahoma"/>
          <w:sz w:val="18"/>
          <w:szCs w:val="18"/>
        </w:rPr>
        <w:t>. zm.).</w:t>
      </w:r>
    </w:p>
    <w:p w:rsidR="005F1C55" w:rsidRPr="0028003B" w:rsidRDefault="009D68F5" w:rsidP="00F9433F">
      <w:pPr>
        <w:spacing w:after="120"/>
        <w:ind w:left="426" w:hanging="426"/>
        <w:jc w:val="both"/>
        <w:rPr>
          <w:rFonts w:ascii="Tahoma" w:hAnsi="Tahoma" w:cs="Tahoma"/>
          <w:sz w:val="18"/>
          <w:szCs w:val="18"/>
        </w:rPr>
      </w:pPr>
      <w:r w:rsidRPr="0028003B">
        <w:rPr>
          <w:rFonts w:ascii="Tahoma" w:hAnsi="Tahoma" w:cs="Tahoma"/>
          <w:sz w:val="18"/>
          <w:szCs w:val="18"/>
        </w:rPr>
        <w:t>2.1.</w:t>
      </w:r>
      <w:r w:rsidR="005F1C55" w:rsidRPr="0028003B">
        <w:rPr>
          <w:rFonts w:ascii="Tahoma" w:hAnsi="Tahoma" w:cs="Tahoma"/>
          <w:sz w:val="18"/>
          <w:szCs w:val="18"/>
        </w:rPr>
        <w:t xml:space="preserve">  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28003B">
        <w:rPr>
          <w:rFonts w:ascii="Tahoma" w:hAnsi="Tahoma" w:cs="Tahoma"/>
          <w:sz w:val="18"/>
          <w:szCs w:val="18"/>
        </w:rPr>
        <w:t xml:space="preserve"> </w:t>
      </w:r>
    </w:p>
    <w:p w:rsidR="00216715" w:rsidRPr="00582C9B" w:rsidRDefault="005F1C55" w:rsidP="00216715">
      <w:pPr>
        <w:tabs>
          <w:tab w:val="num" w:pos="426"/>
        </w:tabs>
        <w:spacing w:line="276" w:lineRule="auto"/>
        <w:ind w:left="426" w:hanging="426"/>
        <w:jc w:val="both"/>
        <w:rPr>
          <w:rFonts w:ascii="Tahoma" w:hAnsi="Tahoma" w:cs="Tahoma"/>
          <w:b/>
          <w:bCs/>
          <w:color w:val="0070C0"/>
          <w:sz w:val="18"/>
          <w:szCs w:val="18"/>
          <w:u w:val="single"/>
        </w:rPr>
      </w:pPr>
      <w:r w:rsidRPr="0028003B">
        <w:rPr>
          <w:rFonts w:ascii="Tahoma" w:hAnsi="Tahoma" w:cs="Tahoma"/>
          <w:sz w:val="18"/>
          <w:szCs w:val="18"/>
        </w:rPr>
        <w:t xml:space="preserve">2.2.  </w:t>
      </w:r>
      <w:r w:rsidR="008E7EF3" w:rsidRPr="0028003B">
        <w:rPr>
          <w:rFonts w:ascii="Tahoma" w:hAnsi="Tahoma" w:cs="Tahoma"/>
          <w:sz w:val="18"/>
          <w:szCs w:val="18"/>
        </w:rPr>
        <w:t xml:space="preserve">Zamawiający </w:t>
      </w:r>
      <w:r w:rsidR="008E7EF3" w:rsidRPr="0028003B">
        <w:rPr>
          <w:rFonts w:ascii="Tahoma" w:hAnsi="Tahoma" w:cs="Tahoma"/>
          <w:b/>
          <w:sz w:val="18"/>
          <w:szCs w:val="18"/>
        </w:rPr>
        <w:t>dopuszcza</w:t>
      </w:r>
      <w:r w:rsidR="008E7EF3" w:rsidRPr="0028003B">
        <w:rPr>
          <w:rFonts w:ascii="Tahoma" w:hAnsi="Tahoma" w:cs="Tahoma"/>
          <w:sz w:val="18"/>
          <w:szCs w:val="18"/>
        </w:rPr>
        <w:t xml:space="preserve"> składanie ofert częściowych. </w:t>
      </w:r>
      <w:r w:rsidR="00216715" w:rsidRPr="00CC0DE7">
        <w:rPr>
          <w:rFonts w:ascii="Tahoma" w:hAnsi="Tahoma" w:cs="Tahoma"/>
          <w:sz w:val="18"/>
          <w:szCs w:val="18"/>
        </w:rPr>
        <w:t xml:space="preserve">. </w:t>
      </w:r>
      <w:r w:rsidR="00216715" w:rsidRPr="00582C9B">
        <w:rPr>
          <w:rFonts w:ascii="Tahoma" w:hAnsi="Tahoma" w:cs="Tahoma"/>
          <w:b/>
          <w:bCs/>
          <w:color w:val="0070C0"/>
          <w:sz w:val="18"/>
          <w:szCs w:val="18"/>
          <w:u w:val="single"/>
        </w:rPr>
        <w:t xml:space="preserve">Liczba pakietów – </w:t>
      </w:r>
      <w:r w:rsidR="00216715">
        <w:rPr>
          <w:rFonts w:ascii="Tahoma" w:hAnsi="Tahoma" w:cs="Tahoma"/>
          <w:b/>
          <w:bCs/>
          <w:color w:val="0070C0"/>
          <w:sz w:val="18"/>
          <w:szCs w:val="18"/>
          <w:u w:val="single"/>
        </w:rPr>
        <w:t>2</w:t>
      </w:r>
      <w:r w:rsidR="00216715" w:rsidRPr="00582C9B">
        <w:rPr>
          <w:rFonts w:ascii="Tahoma" w:hAnsi="Tahoma" w:cs="Tahoma"/>
          <w:b/>
          <w:bCs/>
          <w:color w:val="0070C0"/>
          <w:sz w:val="18"/>
          <w:szCs w:val="18"/>
          <w:u w:val="single"/>
        </w:rPr>
        <w:t xml:space="preserve">. Liczba części na które można złożyć ofertę – </w:t>
      </w:r>
      <w:r w:rsidR="00216715">
        <w:rPr>
          <w:rFonts w:ascii="Tahoma" w:hAnsi="Tahoma" w:cs="Tahoma"/>
          <w:b/>
          <w:bCs/>
          <w:color w:val="0070C0"/>
          <w:sz w:val="18"/>
          <w:szCs w:val="18"/>
          <w:u w:val="single"/>
        </w:rPr>
        <w:t>7</w:t>
      </w:r>
      <w:r w:rsidR="00216715" w:rsidRPr="00582C9B">
        <w:rPr>
          <w:rFonts w:ascii="Tahoma" w:hAnsi="Tahoma" w:cs="Tahoma"/>
          <w:b/>
          <w:bCs/>
          <w:color w:val="0070C0"/>
          <w:sz w:val="18"/>
          <w:szCs w:val="18"/>
          <w:u w:val="single"/>
        </w:rPr>
        <w:t xml:space="preserve">. Za ofertę częściową Zamawiający uzna ofertę złożoną na wszystkie pozycje w danym pakiecie. Wyjątek stanowią pakiety nr: </w:t>
      </w:r>
      <w:r w:rsidR="00216715">
        <w:rPr>
          <w:rFonts w:ascii="Tahoma" w:hAnsi="Tahoma" w:cs="Tahoma"/>
          <w:b/>
          <w:bCs/>
          <w:color w:val="0070C0"/>
          <w:sz w:val="18"/>
          <w:szCs w:val="18"/>
          <w:u w:val="single"/>
        </w:rPr>
        <w:t>2</w:t>
      </w:r>
      <w:r w:rsidR="00216715" w:rsidRPr="00582C9B">
        <w:rPr>
          <w:rFonts w:ascii="Tahoma" w:hAnsi="Tahoma" w:cs="Tahoma"/>
          <w:b/>
          <w:bCs/>
          <w:color w:val="0070C0"/>
          <w:sz w:val="18"/>
          <w:szCs w:val="18"/>
          <w:u w:val="single"/>
        </w:rPr>
        <w:t xml:space="preserve"> – na które można złożyć ofertę na każdą pozycję asortymentową osobno</w:t>
      </w:r>
      <w:r w:rsidR="00AD7F85">
        <w:rPr>
          <w:rFonts w:ascii="Tahoma" w:hAnsi="Tahoma" w:cs="Tahoma"/>
          <w:b/>
          <w:bCs/>
          <w:color w:val="0070C0"/>
          <w:sz w:val="18"/>
          <w:szCs w:val="18"/>
          <w:u w:val="single"/>
        </w:rPr>
        <w:t>.</w:t>
      </w: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2.</w:t>
      </w:r>
      <w:r w:rsidR="005F1C55">
        <w:rPr>
          <w:rFonts w:ascii="Tahoma" w:hAnsi="Tahoma" w:cs="Tahoma"/>
          <w:sz w:val="18"/>
          <w:szCs w:val="18"/>
        </w:rPr>
        <w:t>3</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Pr>
          <w:rFonts w:ascii="Tahoma" w:hAnsi="Tahoma" w:cs="Tahoma"/>
          <w:color w:val="000000"/>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5F1C55">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7D307A" w:rsidRDefault="005253B8" w:rsidP="007D307A">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5F1C55">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r w:rsidR="007D307A">
        <w:rPr>
          <w:rFonts w:ascii="Tahoma" w:hAnsi="Tahoma" w:cs="Tahoma"/>
          <w:spacing w:val="6"/>
          <w:sz w:val="18"/>
          <w:szCs w:val="18"/>
        </w:rPr>
        <w:t xml:space="preserve"> o ile są oni znani w dniu składania ofert.</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5F1C55">
        <w:rPr>
          <w:rFonts w:ascii="Tahoma" w:hAnsi="Tahoma" w:cs="Tahoma"/>
          <w:spacing w:val="6"/>
          <w:sz w:val="18"/>
          <w:szCs w:val="18"/>
        </w:rPr>
        <w:t>10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5F1C55">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5F1C55">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5F1C55">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5F1C55">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556C73" w:rsidRPr="00556C73">
        <w:rPr>
          <w:rFonts w:ascii="Tahoma" w:hAnsi="Tahoma" w:cs="Tahoma"/>
          <w:b/>
          <w:color w:val="0070C0"/>
          <w:sz w:val="18"/>
          <w:szCs w:val="18"/>
        </w:rPr>
        <w:t>Sukcesywne dostawy nici chirurgicznych,</w:t>
      </w:r>
      <w:r w:rsidR="008E2D69">
        <w:rPr>
          <w:rFonts w:ascii="Tahoma" w:hAnsi="Tahoma" w:cs="Tahoma"/>
          <w:b/>
          <w:color w:val="0070C0"/>
          <w:sz w:val="18"/>
          <w:szCs w:val="18"/>
        </w:rPr>
        <w:t xml:space="preserve"> </w:t>
      </w:r>
      <w:r w:rsidR="00556C73" w:rsidRPr="00556C73">
        <w:rPr>
          <w:rFonts w:ascii="Tahoma" w:hAnsi="Tahoma" w:cs="Tahoma"/>
          <w:b/>
          <w:color w:val="0070C0"/>
          <w:sz w:val="18"/>
          <w:szCs w:val="18"/>
        </w:rPr>
        <w:t>różnych materiałów szewnych</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556C73" w:rsidRPr="00556C73" w:rsidRDefault="00132A5B" w:rsidP="00556C73">
      <w:pPr>
        <w:autoSpaceDE w:val="0"/>
        <w:autoSpaceDN w:val="0"/>
        <w:adjustRightInd w:val="0"/>
        <w:rPr>
          <w:rFonts w:ascii="Tahoma" w:hAnsi="Tahoma"/>
          <w:b/>
          <w:sz w:val="18"/>
          <w:szCs w:val="18"/>
        </w:rPr>
      </w:pPr>
      <w:r w:rsidRPr="00556C73">
        <w:rPr>
          <w:rFonts w:ascii="Tahoma" w:hAnsi="Tahoma"/>
          <w:b/>
          <w:bCs/>
          <w:sz w:val="18"/>
        </w:rPr>
        <w:t>3.2. Kod CPV:</w:t>
      </w:r>
      <w:r w:rsidR="008E7EF3" w:rsidRPr="00556C73">
        <w:rPr>
          <w:rFonts w:ascii="Tahoma" w:hAnsi="Tahoma"/>
          <w:b/>
          <w:bCs/>
          <w:sz w:val="18"/>
        </w:rPr>
        <w:t xml:space="preserve"> </w:t>
      </w:r>
      <w:r w:rsidR="00556C73" w:rsidRPr="00556C73">
        <w:rPr>
          <w:rFonts w:ascii="Tahoma" w:hAnsi="Tahoma"/>
          <w:b/>
          <w:sz w:val="18"/>
          <w:szCs w:val="18"/>
        </w:rPr>
        <w:t>33.14.11.21-4   Szwy chirurgiczne</w:t>
      </w:r>
    </w:p>
    <w:p w:rsidR="00556C73" w:rsidRPr="00556C73" w:rsidRDefault="00556C73" w:rsidP="00556C73">
      <w:pPr>
        <w:tabs>
          <w:tab w:val="left" w:pos="1942"/>
        </w:tabs>
        <w:spacing w:line="276" w:lineRule="auto"/>
        <w:jc w:val="both"/>
        <w:rPr>
          <w:rFonts w:ascii="Tahoma" w:hAnsi="Tahoma" w:cs="Tahoma"/>
          <w:b/>
          <w:sz w:val="18"/>
          <w:szCs w:val="18"/>
        </w:rPr>
      </w:pPr>
      <w:r w:rsidRPr="00556C73">
        <w:rPr>
          <w:rFonts w:ascii="Tahoma" w:hAnsi="Tahoma"/>
          <w:b/>
          <w:sz w:val="18"/>
          <w:szCs w:val="18"/>
        </w:rPr>
        <w:t xml:space="preserve">                        33.14.00.00-3   Materiały medyczne</w:t>
      </w:r>
      <w:r w:rsidRPr="00556C73">
        <w:rPr>
          <w:rFonts w:ascii="Tahoma" w:hAnsi="Tahoma"/>
          <w:b/>
          <w:bCs/>
          <w:sz w:val="18"/>
        </w:rPr>
        <w:t xml:space="preserve"> </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0949E2" w:rsidRDefault="006473FD" w:rsidP="000949E2">
      <w:pPr>
        <w:spacing w:before="100"/>
        <w:jc w:val="both"/>
        <w:rPr>
          <w:rFonts w:ascii="Tahoma" w:hAnsi="Tahoma" w:cs="Tahoma"/>
          <w:b/>
          <w:color w:val="00B0F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0949E2" w:rsidRPr="000949E2">
        <w:rPr>
          <w:rFonts w:ascii="Tahoma" w:hAnsi="Tahoma"/>
          <w:b/>
          <w:bCs/>
          <w:color w:val="0070C0"/>
          <w:sz w:val="18"/>
        </w:rPr>
        <w:t>od dnia zawarcia umowy</w:t>
      </w:r>
      <w:r w:rsidR="00E1507C">
        <w:rPr>
          <w:rFonts w:ascii="Tahoma" w:hAnsi="Tahoma"/>
          <w:b/>
          <w:bCs/>
          <w:color w:val="0070C0"/>
          <w:sz w:val="18"/>
        </w:rPr>
        <w:t xml:space="preserve">, </w:t>
      </w:r>
      <w:r w:rsidR="000949E2" w:rsidRPr="000949E2">
        <w:rPr>
          <w:rFonts w:ascii="Tahoma" w:hAnsi="Tahoma"/>
          <w:b/>
          <w:bCs/>
          <w:color w:val="0070C0"/>
          <w:sz w:val="18"/>
        </w:rPr>
        <w:t>do dnia 21.10.2021 r.</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AC4D83">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sidR="00BE0E74">
        <w:rPr>
          <w:rFonts w:ascii="Tahoma" w:hAnsi="Tahoma"/>
          <w:sz w:val="18"/>
        </w:rPr>
        <w:t xml:space="preserve">Wykonawca będzie dostarczał na własny koszt i ryzyko towar do wskazanego pomieszczenia: </w:t>
      </w:r>
      <w:r w:rsidR="00BE0E74">
        <w:rPr>
          <w:rFonts w:ascii="Tahoma" w:hAnsi="Tahoma"/>
          <w:b/>
          <w:sz w:val="18"/>
        </w:rPr>
        <w:t xml:space="preserve">Apteki Szpitalnej WS-SPZOZ </w:t>
      </w:r>
      <w:r w:rsidR="00BE0E74">
        <w:rPr>
          <w:rFonts w:ascii="Tahoma" w:hAnsi="Tahoma"/>
          <w:sz w:val="18"/>
        </w:rPr>
        <w:t>w Zgorzelcu,  59-900 Zgorzelec, ul. Lubańska 11-12 (poziom -1), w dni robocze od 8.00 do 14.00</w:t>
      </w:r>
      <w:bookmarkEnd w:id="0"/>
      <w:r w:rsidR="00EA36DB">
        <w:rPr>
          <w:rFonts w:ascii="Tahoma" w:hAnsi="Tahoma" w:cs="Tahoma"/>
          <w:b/>
          <w:sz w:val="18"/>
          <w:szCs w:val="18"/>
        </w:rPr>
        <w:t>.</w:t>
      </w:r>
    </w:p>
    <w:p w:rsidR="006473FD" w:rsidRPr="00F37D9F" w:rsidRDefault="006473FD" w:rsidP="006473FD">
      <w:pPr>
        <w:spacing w:line="276" w:lineRule="auto"/>
        <w:ind w:left="720"/>
        <w:jc w:val="both"/>
        <w:rPr>
          <w:rFonts w:ascii="Tahoma" w:hAnsi="Tahoma" w:cs="Tahoma"/>
          <w:sz w:val="16"/>
          <w:szCs w:val="16"/>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AC4D83" w:rsidRPr="003C0579">
        <w:rPr>
          <w:rFonts w:ascii="Tahoma" w:hAnsi="Tahoma" w:cs="Tahoma"/>
          <w:sz w:val="18"/>
          <w:szCs w:val="18"/>
        </w:rPr>
        <w:t>Towar pozostawiony poza wskazanym pomieszczeniem uważa się za niedostarczony zgodnie z</w:t>
      </w:r>
      <w:r w:rsidR="00AC4D83" w:rsidRPr="00924155">
        <w:rPr>
          <w:rFonts w:ascii="Tahoma" w:hAnsi="Tahoma"/>
          <w:sz w:val="18"/>
        </w:rPr>
        <w:t xml:space="preserve">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AC4D83"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4</w:t>
      </w:r>
      <w:r>
        <w:rPr>
          <w:rFonts w:ascii="Tahoma" w:hAnsi="Tahoma" w:cs="Tahoma"/>
          <w:sz w:val="18"/>
          <w:szCs w:val="18"/>
        </w:rPr>
        <w:t>.</w:t>
      </w:r>
      <w:r w:rsidR="00776AB1">
        <w:rPr>
          <w:rFonts w:ascii="Tahoma" w:hAnsi="Tahoma" w:cs="Tahoma"/>
          <w:sz w:val="18"/>
          <w:szCs w:val="18"/>
        </w:rPr>
        <w:t xml:space="preserve"> </w:t>
      </w:r>
      <w:r w:rsidR="00AC4D83">
        <w:rPr>
          <w:rFonts w:ascii="Tahoma" w:hAnsi="Tahoma"/>
          <w:sz w:val="18"/>
        </w:rPr>
        <w:t xml:space="preserve">Wykonawca będzie informował Zamawiającego o zmianach w realizacji zamówienia (zmiany zamówionych ilości i ustalonych terminów) z podaniem przyczyny e-mailem na adres </w:t>
      </w:r>
      <w:hyperlink r:id="rId11" w:history="1">
        <w:r w:rsidR="00AC4D83" w:rsidRPr="00C2656E">
          <w:rPr>
            <w:rStyle w:val="Hipercze"/>
            <w:rFonts w:ascii="Tahoma" w:hAnsi="Tahoma"/>
            <w:sz w:val="18"/>
          </w:rPr>
          <w:t>apteka@spzoz.zgorzelec.pl</w:t>
        </w:r>
      </w:hyperlink>
      <w:r w:rsidR="00AC4D83">
        <w:rPr>
          <w:rFonts w:ascii="Tahoma" w:hAnsi="Tahoma"/>
          <w:sz w:val="18"/>
        </w:rPr>
        <w:t xml:space="preserve"> nie później niż</w:t>
      </w:r>
      <w:r w:rsidR="0073539C">
        <w:rPr>
          <w:rFonts w:ascii="Tahoma" w:hAnsi="Tahoma"/>
          <w:sz w:val="18"/>
        </w:rPr>
        <w:t xml:space="preserve">            </w:t>
      </w:r>
      <w:r w:rsidR="00AC4D83">
        <w:rPr>
          <w:rFonts w:ascii="Tahoma" w:hAnsi="Tahoma"/>
          <w:sz w:val="18"/>
        </w:rPr>
        <w:t xml:space="preserve"> </w:t>
      </w:r>
      <w:r w:rsidR="00AC4D83">
        <w:rPr>
          <w:rFonts w:ascii="Tahoma" w:hAnsi="Tahoma"/>
          <w:b/>
          <w:sz w:val="18"/>
          <w:u w:val="single"/>
        </w:rPr>
        <w:t>24 godz</w:t>
      </w:r>
      <w:r w:rsidR="00AC4D83">
        <w:rPr>
          <w:rFonts w:ascii="Tahoma" w:hAnsi="Tahoma"/>
          <w:sz w:val="18"/>
        </w:rPr>
        <w:t>. od daty złożenia zamówienia</w:t>
      </w:r>
      <w:r w:rsidR="00AC4D83">
        <w:rPr>
          <w:rFonts w:ascii="Tahoma" w:hAnsi="Tahoma"/>
          <w:sz w:val="18"/>
          <w:szCs w:val="18"/>
        </w:rPr>
        <w:t xml:space="preserve"> (do godz. 15:00)</w:t>
      </w:r>
      <w:r w:rsidR="00AC4D83">
        <w:rPr>
          <w:rFonts w:ascii="Tahoma" w:hAnsi="Tahoma" w:cs="Tahoma"/>
          <w:sz w:val="18"/>
          <w:szCs w:val="18"/>
        </w:rPr>
        <w:t>.</w:t>
      </w:r>
    </w:p>
    <w:p w:rsidR="00AC4D83" w:rsidRDefault="00AC4D83"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5</w:t>
      </w:r>
      <w:r>
        <w:rPr>
          <w:rFonts w:ascii="Tahoma" w:hAnsi="Tahoma" w:cs="Tahoma"/>
          <w:sz w:val="18"/>
          <w:szCs w:val="18"/>
        </w:rPr>
        <w:t>.</w:t>
      </w:r>
      <w:r w:rsidR="0073539C">
        <w:rPr>
          <w:rFonts w:ascii="Tahoma" w:hAnsi="Tahoma" w:cs="Tahoma"/>
          <w:sz w:val="18"/>
          <w:szCs w:val="18"/>
        </w:rPr>
        <w:t xml:space="preserve"> Zamawiający zobowiązuje się do zapłaty należności w terminie ______ dni (KRYTERIUM PUNKTOWE) licząc od daty prawidłowo wystawionej faktury VAT i uprzednio otrzymanej dostawy, przelewem na konto Wykonawcy wskazane w fakturze.</w:t>
      </w:r>
    </w:p>
    <w:p w:rsidR="00036BC8" w:rsidRDefault="00036BC8" w:rsidP="006473FD">
      <w:pPr>
        <w:tabs>
          <w:tab w:val="num" w:pos="284"/>
        </w:tabs>
        <w:spacing w:line="276" w:lineRule="auto"/>
        <w:ind w:left="284" w:hanging="284"/>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6</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 xml:space="preserve">4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 xml:space="preserve">4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Wykonawca, który powołuje się na zasoby innych podmiotów, w celu wykazania braku istnienia wobec nich podstaw wykluczenia</w:t>
      </w:r>
      <w:r w:rsidR="008F5E81" w:rsidRPr="00F37D9F">
        <w:rPr>
          <w:rFonts w:ascii="Tahoma" w:hAnsi="Tahoma" w:cs="Tahoma"/>
          <w:sz w:val="18"/>
          <w:szCs w:val="18"/>
        </w:rPr>
        <w:t>,</w:t>
      </w:r>
      <w:r w:rsidRPr="00F37D9F">
        <w:rPr>
          <w:rFonts w:ascii="Tahoma" w:hAnsi="Tahoma" w:cs="Tahoma"/>
          <w:sz w:val="18"/>
          <w:szCs w:val="18"/>
        </w:rPr>
        <w:t xml:space="preserve"> zamieszcza informacje o tych podmiotach w aktualnym na dzień składania ofert oświadczeniu (załącznik nr </w:t>
      </w:r>
      <w:r w:rsidR="00946BF5" w:rsidRPr="00F37D9F">
        <w:rPr>
          <w:rFonts w:ascii="Tahoma" w:hAnsi="Tahoma" w:cs="Tahoma"/>
          <w:sz w:val="18"/>
          <w:szCs w:val="18"/>
        </w:rPr>
        <w:t xml:space="preserve">4 </w:t>
      </w:r>
      <w:r w:rsidR="00BB73A2" w:rsidRPr="00F37D9F">
        <w:rPr>
          <w:rFonts w:ascii="Tahoma" w:hAnsi="Tahoma" w:cs="Tahoma"/>
          <w:sz w:val="18"/>
          <w:szCs w:val="18"/>
        </w:rPr>
        <w:t>d</w:t>
      </w:r>
      <w:r w:rsidRPr="00F37D9F">
        <w:rPr>
          <w:rFonts w:ascii="Tahoma" w:hAnsi="Tahoma" w:cs="Tahoma"/>
          <w:sz w:val="18"/>
          <w:szCs w:val="18"/>
        </w:rPr>
        <w:t>o SIWZ).</w:t>
      </w:r>
    </w:p>
    <w:p w:rsidR="00F37D9F" w:rsidRPr="00F37D9F" w:rsidRDefault="006D0188"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sidRPr="00F37D9F">
        <w:rPr>
          <w:rFonts w:ascii="Tahoma" w:hAnsi="Tahoma"/>
          <w:sz w:val="18"/>
          <w:szCs w:val="18"/>
        </w:rPr>
        <w:t xml:space="preserve">oświadczenie wg treści załącznika nr </w:t>
      </w:r>
      <w:r w:rsidR="00DE2EB8" w:rsidRPr="00F37D9F">
        <w:rPr>
          <w:rFonts w:ascii="Tahoma" w:hAnsi="Tahoma"/>
          <w:sz w:val="18"/>
          <w:szCs w:val="18"/>
        </w:rPr>
        <w:t>4</w:t>
      </w:r>
      <w:r w:rsidR="00BB73A2" w:rsidRPr="00F37D9F">
        <w:rPr>
          <w:rFonts w:ascii="Tahoma" w:hAnsi="Tahoma"/>
          <w:sz w:val="18"/>
          <w:szCs w:val="18"/>
        </w:rPr>
        <w:t xml:space="preserve"> do SIWZ</w:t>
      </w:r>
      <w:r w:rsidRPr="00F37D9F">
        <w:rPr>
          <w:rFonts w:ascii="Tahoma" w:hAnsi="Tahoma"/>
          <w:sz w:val="18"/>
          <w:szCs w:val="18"/>
        </w:rPr>
        <w:t xml:space="preserve"> (art. 25a ust. 5 ustawy PZP)</w:t>
      </w:r>
      <w:r w:rsidR="00F0280E" w:rsidRPr="00F37D9F">
        <w:rPr>
          <w:rFonts w:ascii="Tahoma" w:hAnsi="Tahoma" w:cs="Tahoma"/>
          <w:sz w:val="18"/>
          <w:szCs w:val="18"/>
        </w:rPr>
        <w:t>.</w:t>
      </w:r>
    </w:p>
    <w:p w:rsidR="00F0280E"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t xml:space="preserve">W przypadku </w:t>
      </w:r>
      <w:r w:rsidRPr="00F37D9F">
        <w:rPr>
          <w:rFonts w:ascii="Tahoma" w:hAnsi="Tahoma"/>
          <w:b/>
          <w:sz w:val="18"/>
          <w:szCs w:val="18"/>
        </w:rPr>
        <w:t>wspólnego ubiegania się o zamówienie przez wykonawców</w:t>
      </w:r>
      <w:r w:rsidRPr="00F37D9F">
        <w:rPr>
          <w:rFonts w:ascii="Tahoma" w:hAnsi="Tahoma"/>
          <w:sz w:val="18"/>
          <w:szCs w:val="18"/>
        </w:rPr>
        <w:t xml:space="preserve">, </w:t>
      </w:r>
      <w:r w:rsidRPr="00F37D9F">
        <w:rPr>
          <w:rFonts w:ascii="Tahoma" w:hAnsi="Tahoma"/>
          <w:b/>
          <w:sz w:val="18"/>
          <w:szCs w:val="18"/>
        </w:rPr>
        <w:t>aktualne oświadczenie</w:t>
      </w:r>
      <w:r w:rsidRPr="00F37D9F">
        <w:rPr>
          <w:rFonts w:ascii="Tahoma" w:hAnsi="Tahoma"/>
          <w:sz w:val="18"/>
          <w:szCs w:val="18"/>
        </w:rPr>
        <w:t xml:space="preserve"> </w:t>
      </w:r>
      <w:r w:rsidRPr="00F37D9F">
        <w:rPr>
          <w:rFonts w:ascii="Tahoma" w:hAnsi="Tahoma"/>
          <w:b/>
          <w:sz w:val="18"/>
          <w:szCs w:val="18"/>
        </w:rPr>
        <w:t xml:space="preserve">(załącznik nr </w:t>
      </w:r>
      <w:r w:rsidR="00465CA3" w:rsidRPr="00F37D9F">
        <w:rPr>
          <w:rFonts w:ascii="Tahoma" w:hAnsi="Tahoma"/>
          <w:b/>
          <w:sz w:val="18"/>
          <w:szCs w:val="18"/>
        </w:rPr>
        <w:t>4</w:t>
      </w:r>
      <w:r w:rsidR="00946BF5" w:rsidRPr="00F37D9F">
        <w:rPr>
          <w:rFonts w:ascii="Tahoma" w:hAnsi="Tahoma"/>
          <w:b/>
          <w:sz w:val="18"/>
          <w:szCs w:val="18"/>
        </w:rPr>
        <w:t xml:space="preserve"> </w:t>
      </w:r>
      <w:r w:rsidRPr="00F37D9F">
        <w:rPr>
          <w:rFonts w:ascii="Tahoma" w:hAnsi="Tahoma"/>
          <w:b/>
          <w:sz w:val="18"/>
          <w:szCs w:val="18"/>
        </w:rPr>
        <w:t>do SIWZ)</w:t>
      </w:r>
      <w:r w:rsidRPr="00F37D9F">
        <w:rPr>
          <w:rFonts w:ascii="Tahoma" w:hAnsi="Tahoma"/>
          <w:sz w:val="18"/>
          <w:szCs w:val="18"/>
        </w:rPr>
        <w:t xml:space="preserve"> składa </w:t>
      </w:r>
      <w:r w:rsidRPr="00F37D9F">
        <w:rPr>
          <w:rFonts w:ascii="Tahoma" w:hAnsi="Tahoma"/>
          <w:b/>
          <w:sz w:val="18"/>
          <w:szCs w:val="18"/>
        </w:rPr>
        <w:t>DO OFERTY każdy z wykonawców wspólnie ubiegających się o zamówienie.</w:t>
      </w:r>
      <w:r w:rsidRPr="00F37D9F">
        <w:rPr>
          <w:rFonts w:ascii="Tahoma" w:hAnsi="Tahoma"/>
          <w:sz w:val="18"/>
          <w:szCs w:val="18"/>
        </w:rPr>
        <w:t xml:space="preserve"> </w:t>
      </w:r>
      <w:r w:rsidR="006C46BD" w:rsidRPr="00F37D9F">
        <w:rPr>
          <w:rFonts w:ascii="Tahoma" w:hAnsi="Tahoma" w:cs="Tahoma"/>
          <w:sz w:val="18"/>
          <w:szCs w:val="18"/>
        </w:rPr>
        <w:t>Dokumenty te</w:t>
      </w:r>
      <w:r w:rsidR="008F5E81" w:rsidRPr="00F37D9F">
        <w:rPr>
          <w:rFonts w:ascii="Tahoma" w:hAnsi="Tahoma" w:cs="Tahoma"/>
          <w:sz w:val="18"/>
          <w:szCs w:val="18"/>
        </w:rPr>
        <w:t xml:space="preserve"> wstępnie potwierdzają </w:t>
      </w:r>
      <w:r w:rsidR="006C46BD" w:rsidRPr="00F37D9F">
        <w:rPr>
          <w:rFonts w:ascii="Tahoma" w:hAnsi="Tahoma" w:cs="Tahoma"/>
          <w:sz w:val="18"/>
          <w:szCs w:val="18"/>
        </w:rPr>
        <w:t>brak podstaw wykluczenia</w:t>
      </w:r>
      <w:r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 xml:space="preserve">Zamawiający </w:t>
      </w:r>
      <w:r w:rsidR="00AF3C16">
        <w:rPr>
          <w:rFonts w:ascii="Tahoma" w:hAnsi="Tahoma" w:cs="Tahoma"/>
          <w:sz w:val="18"/>
          <w:szCs w:val="18"/>
        </w:rPr>
        <w:t>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2017r., poz. 1508 oraz z 2018r.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9207B">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w:t>
      </w:r>
      <w:r w:rsidR="00F657B6">
        <w:rPr>
          <w:rFonts w:ascii="Tahoma" w:hAnsi="Tahoma"/>
          <w:iCs/>
          <w:sz w:val="18"/>
        </w:rPr>
        <w:t>z</w:t>
      </w:r>
      <w:r w:rsidR="00A9207B" w:rsidRPr="001F33CA">
        <w:rPr>
          <w:rFonts w:ascii="Tahoma" w:hAnsi="Tahoma"/>
          <w:b/>
          <w:iCs/>
          <w:sz w:val="18"/>
        </w:rPr>
        <w:t xml:space="preserve"> numer</w:t>
      </w:r>
      <w:r w:rsidR="00A9207B">
        <w:rPr>
          <w:rFonts w:ascii="Tahoma" w:hAnsi="Tahoma"/>
          <w:b/>
          <w:iCs/>
          <w:sz w:val="18"/>
        </w:rPr>
        <w:t>ami</w:t>
      </w:r>
      <w:r w:rsidR="00A9207B" w:rsidRPr="001F33CA">
        <w:rPr>
          <w:rFonts w:ascii="Tahoma" w:hAnsi="Tahoma"/>
          <w:b/>
          <w:iCs/>
          <w:sz w:val="18"/>
        </w:rPr>
        <w:t xml:space="preserve"> katalogow</w:t>
      </w:r>
      <w:r w:rsidR="00A9207B">
        <w:rPr>
          <w:rFonts w:ascii="Tahoma" w:hAnsi="Tahoma"/>
          <w:b/>
          <w:iCs/>
          <w:sz w:val="18"/>
        </w:rPr>
        <w:t>ymi</w:t>
      </w:r>
      <w:r w:rsidR="00A9207B" w:rsidRPr="001F33CA">
        <w:rPr>
          <w:rFonts w:ascii="Tahoma" w:hAnsi="Tahoma"/>
          <w:iCs/>
          <w:sz w:val="18"/>
        </w:rPr>
        <w:t xml:space="preserve"> </w:t>
      </w:r>
      <w:r>
        <w:rPr>
          <w:rFonts w:ascii="Tahoma" w:hAnsi="Tahoma"/>
          <w:iCs/>
          <w:sz w:val="18"/>
        </w:rPr>
        <w:t xml:space="preserve">zaoferowanego przedmiotu zamówienia </w:t>
      </w:r>
      <w:r>
        <w:rPr>
          <w:rFonts w:ascii="Tahoma" w:hAnsi="Tahoma"/>
          <w:iCs/>
          <w:sz w:val="18"/>
          <w:highlight w:val="yellow"/>
        </w:rPr>
        <w:t>(numer katalogowy</w:t>
      </w:r>
      <w:r w:rsidR="00A9207B">
        <w:rPr>
          <w:rFonts w:ascii="Tahoma" w:hAnsi="Tahoma"/>
          <w:iCs/>
          <w:sz w:val="18"/>
          <w:highlight w:val="yellow"/>
        </w:rPr>
        <w:t xml:space="preserve"> / kod</w:t>
      </w:r>
      <w:r>
        <w:rPr>
          <w:rFonts w:ascii="Tahoma" w:hAnsi="Tahoma"/>
          <w:iCs/>
          <w:sz w:val="18"/>
          <w:highlight w:val="yellow"/>
        </w:rPr>
        <w:t xml:space="preserve">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rsidR="008C5A60" w:rsidRDefault="00BF03BE" w:rsidP="003A7B01">
      <w:pPr>
        <w:pStyle w:val="Akapitzlist"/>
        <w:numPr>
          <w:ilvl w:val="2"/>
          <w:numId w:val="4"/>
        </w:numPr>
        <w:spacing w:before="120"/>
        <w:ind w:left="993" w:hanging="579"/>
        <w:jc w:val="both"/>
        <w:rPr>
          <w:rFonts w:ascii="Tahoma" w:hAnsi="Tahoma" w:cs="Tahoma"/>
          <w:sz w:val="18"/>
          <w:szCs w:val="18"/>
        </w:rPr>
      </w:pPr>
      <w:bookmarkStart w:id="1" w:name="_Hlk19605849"/>
      <w:r>
        <w:rPr>
          <w:rFonts w:ascii="Tahoma" w:hAnsi="Tahoma" w:cs="Tahoma"/>
          <w:sz w:val="18"/>
          <w:szCs w:val="18"/>
        </w:rPr>
        <w:t>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xml:space="preserve"> – jeżeli dotyczy. Zamawiający zastrzega sobie możliwość żądania przedłożenia dokumentów rejestracyjnych po złożeniu w/w oświadczenia, wyłącznie w przypadku powzięcia wątpliwości do prawidłowości zaoferowanego przedmiotu zamówienia</w:t>
      </w:r>
      <w:bookmarkEnd w:id="1"/>
      <w:r w:rsidR="00A32608">
        <w:rPr>
          <w:rFonts w:ascii="Tahoma" w:hAnsi="Tahoma" w:cs="Tahoma"/>
          <w:sz w:val="18"/>
          <w:szCs w:val="18"/>
        </w:rPr>
        <w:t xml:space="preserve">.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2"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2"/>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F37D9F" w:rsidRDefault="00F37D9F" w:rsidP="00F37D9F">
      <w:pPr>
        <w:pStyle w:val="Akapitzlist"/>
        <w:numPr>
          <w:ilvl w:val="1"/>
          <w:numId w:val="25"/>
        </w:numPr>
        <w:spacing w:before="120" w:line="276" w:lineRule="auto"/>
        <w:jc w:val="both"/>
        <w:rPr>
          <w:rFonts w:ascii="Tahoma" w:hAnsi="Tahoma" w:cs="Tahoma"/>
          <w:b/>
          <w:sz w:val="18"/>
          <w:szCs w:val="18"/>
        </w:rPr>
      </w:pPr>
      <w:r>
        <w:rPr>
          <w:rFonts w:ascii="Tahoma" w:hAnsi="Tahoma" w:cs="Tahoma"/>
          <w:sz w:val="18"/>
          <w:szCs w:val="18"/>
        </w:rPr>
        <w:t xml:space="preserve"> </w:t>
      </w:r>
      <w:r w:rsidR="00A44C69" w:rsidRPr="00F37D9F">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F37D9F" w:rsidRDefault="00F37D9F" w:rsidP="00F37D9F">
      <w:pPr>
        <w:pStyle w:val="Akapitzlist"/>
        <w:numPr>
          <w:ilvl w:val="1"/>
          <w:numId w:val="25"/>
        </w:numPr>
        <w:spacing w:before="120"/>
        <w:jc w:val="both"/>
        <w:rPr>
          <w:rFonts w:ascii="Tahoma" w:hAnsi="Tahoma" w:cs="Tahoma"/>
          <w:b/>
          <w:sz w:val="18"/>
          <w:szCs w:val="18"/>
        </w:rPr>
      </w:pPr>
      <w:r>
        <w:rPr>
          <w:rFonts w:ascii="Tahoma" w:hAnsi="Tahoma" w:cs="Tahoma"/>
          <w:sz w:val="18"/>
          <w:szCs w:val="18"/>
        </w:rPr>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rsidR="003A662C" w:rsidRPr="007E3A10" w:rsidRDefault="003A662C" w:rsidP="00F37D9F">
      <w:pPr>
        <w:numPr>
          <w:ilvl w:val="1"/>
          <w:numId w:val="25"/>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DD317E" w:rsidRDefault="00214D30" w:rsidP="00F37D9F">
      <w:pPr>
        <w:numPr>
          <w:ilvl w:val="1"/>
          <w:numId w:val="25"/>
        </w:numPr>
        <w:spacing w:before="120"/>
        <w:ind w:left="426" w:hanging="426"/>
        <w:jc w:val="both"/>
        <w:rPr>
          <w:rFonts w:ascii="Tahoma" w:hAnsi="Tahoma" w:cs="Tahoma"/>
          <w:strike/>
          <w:sz w:val="18"/>
          <w:szCs w:val="18"/>
        </w:rPr>
      </w:pPr>
      <w:r w:rsidRPr="00DD317E">
        <w:rPr>
          <w:rFonts w:ascii="Tahoma" w:hAnsi="Tahoma" w:cs="Tahoma"/>
          <w:strike/>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521ECF" w:rsidRDefault="00214D30"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Wykonawca, który </w:t>
      </w:r>
      <w:r w:rsidRPr="00521ECF">
        <w:rPr>
          <w:rFonts w:ascii="Tahoma" w:hAnsi="Tahoma" w:cs="Tahoma"/>
          <w:b/>
          <w:strike/>
          <w:sz w:val="18"/>
          <w:szCs w:val="18"/>
        </w:rPr>
        <w:t>polega na zdolnościach lub sytuacji innych podmiotów</w:t>
      </w:r>
      <w:r w:rsidRPr="00521ECF">
        <w:rPr>
          <w:rFonts w:ascii="Tahoma" w:hAnsi="Tahoma" w:cs="Tahoma"/>
          <w:strike/>
          <w:sz w:val="18"/>
          <w:szCs w:val="18"/>
        </w:rPr>
        <w:t xml:space="preserve">, musi udowodnić Zamawiającemu, że realizując zamówienie będzie dysponował niezbędnymi zasobami tych podmiotów, w szczególności przedstawiając </w:t>
      </w:r>
      <w:r w:rsidRPr="00521ECF">
        <w:rPr>
          <w:rFonts w:ascii="Tahoma" w:hAnsi="Tahoma" w:cs="Tahoma"/>
          <w:b/>
          <w:strike/>
          <w:sz w:val="18"/>
          <w:szCs w:val="18"/>
        </w:rPr>
        <w:t>zobowiązani</w:t>
      </w:r>
      <w:r w:rsidR="007376DA" w:rsidRPr="00521ECF">
        <w:rPr>
          <w:rFonts w:ascii="Tahoma" w:hAnsi="Tahoma" w:cs="Tahoma"/>
          <w:b/>
          <w:strike/>
          <w:sz w:val="18"/>
          <w:szCs w:val="18"/>
        </w:rPr>
        <w:t>e</w:t>
      </w:r>
      <w:r w:rsidRPr="00521ECF">
        <w:rPr>
          <w:rFonts w:ascii="Tahoma" w:hAnsi="Tahoma" w:cs="Tahoma"/>
          <w:strike/>
          <w:sz w:val="18"/>
          <w:szCs w:val="18"/>
        </w:rPr>
        <w:t xml:space="preserve"> tych podmiotów do oddania mu do dyspozycji niezbędnych zasobów na potrzeby reali</w:t>
      </w:r>
      <w:r w:rsidR="0083419F" w:rsidRPr="00521ECF">
        <w:rPr>
          <w:rFonts w:ascii="Tahoma" w:hAnsi="Tahoma" w:cs="Tahoma"/>
          <w:strike/>
          <w:sz w:val="18"/>
          <w:szCs w:val="18"/>
        </w:rPr>
        <w:t>zacji zamówienia.</w:t>
      </w:r>
      <w:r w:rsidR="00A063AB" w:rsidRPr="00521ECF">
        <w:rPr>
          <w:rFonts w:ascii="Tahoma" w:hAnsi="Tahoma" w:cs="Tahoma"/>
          <w:strike/>
          <w:sz w:val="18"/>
          <w:szCs w:val="18"/>
        </w:rPr>
        <w:t xml:space="preserve"> Wzór zobowiązania j/w stanowi </w:t>
      </w:r>
      <w:r w:rsidR="0037300F" w:rsidRPr="00521ECF">
        <w:rPr>
          <w:rFonts w:ascii="Tahoma" w:hAnsi="Tahoma" w:cs="Tahoma"/>
          <w:b/>
          <w:strike/>
          <w:color w:val="0070C0"/>
          <w:sz w:val="18"/>
          <w:szCs w:val="18"/>
        </w:rPr>
        <w:t xml:space="preserve">Załącznik nr </w:t>
      </w:r>
      <w:r w:rsidR="003A662C" w:rsidRPr="00521ECF">
        <w:rPr>
          <w:rFonts w:ascii="Tahoma" w:hAnsi="Tahoma" w:cs="Tahoma"/>
          <w:b/>
          <w:strike/>
          <w:color w:val="0070C0"/>
          <w:sz w:val="18"/>
          <w:szCs w:val="18"/>
        </w:rPr>
        <w:t>7</w:t>
      </w:r>
      <w:r w:rsidR="00A063AB" w:rsidRPr="00521ECF">
        <w:rPr>
          <w:rFonts w:ascii="Tahoma" w:hAnsi="Tahoma" w:cs="Tahoma"/>
          <w:b/>
          <w:strike/>
          <w:color w:val="0070C0"/>
          <w:sz w:val="18"/>
          <w:szCs w:val="18"/>
        </w:rPr>
        <w:t xml:space="preserve"> do SIWZ.</w:t>
      </w:r>
    </w:p>
    <w:p w:rsidR="0083419F" w:rsidRPr="00521ECF" w:rsidRDefault="0083419F"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521ECF">
        <w:rPr>
          <w:rFonts w:ascii="Tahoma" w:hAnsi="Tahoma" w:cs="Tahoma"/>
          <w:b/>
          <w:strike/>
          <w:sz w:val="18"/>
          <w:szCs w:val="18"/>
        </w:rPr>
        <w:t>dokumentów</w:t>
      </w:r>
      <w:r w:rsidRPr="00521ECF">
        <w:rPr>
          <w:rFonts w:ascii="Tahoma" w:hAnsi="Tahoma" w:cs="Tahoma"/>
          <w:strike/>
          <w:sz w:val="18"/>
          <w:szCs w:val="18"/>
        </w:rPr>
        <w:t>, które określają w szczególności:</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 xml:space="preserve">zakres dostępnych Wykonawcy zasobów innego podmiotu; </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sposób wykorzystania zasobów innego podmiotu, przez Wykonawcę, przy wykonywaniu zamówienia publicznego;</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zakres i okres udziału innego podmiotu przy wykonywaniu zamówienia publicznego;</w:t>
      </w:r>
    </w:p>
    <w:p w:rsidR="00214D30" w:rsidRPr="00521ECF" w:rsidRDefault="00A01852"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żąda od Wykonawcy</w:t>
      </w:r>
      <w:r w:rsidR="002B5923" w:rsidRPr="00521ECF">
        <w:rPr>
          <w:rFonts w:ascii="Tahoma" w:hAnsi="Tahoma" w:cs="Tahoma"/>
          <w:strike/>
          <w:sz w:val="18"/>
          <w:szCs w:val="18"/>
        </w:rPr>
        <w:t>,</w:t>
      </w:r>
      <w:r w:rsidRPr="00521ECF">
        <w:rPr>
          <w:rFonts w:ascii="Tahoma" w:hAnsi="Tahoma" w:cs="Tahoma"/>
          <w:strike/>
          <w:sz w:val="18"/>
          <w:szCs w:val="18"/>
        </w:rPr>
        <w:t xml:space="preserve"> który polega na zdolnościach lub sytuacji innych podmiotów na zasadach określonych w art. 22a Ustawy, przedstawienia w odniesieniu do tych podmiotów dokumentów wymien</w:t>
      </w:r>
      <w:r w:rsidR="001B223E" w:rsidRPr="00521ECF">
        <w:rPr>
          <w:rFonts w:ascii="Tahoma" w:hAnsi="Tahoma" w:cs="Tahoma"/>
          <w:strike/>
          <w:sz w:val="18"/>
          <w:szCs w:val="18"/>
        </w:rPr>
        <w:t>ionych  w pkt. 7.</w:t>
      </w:r>
      <w:r w:rsidR="00822B61" w:rsidRPr="00521ECF">
        <w:rPr>
          <w:rFonts w:ascii="Tahoma" w:hAnsi="Tahoma" w:cs="Tahoma"/>
          <w:strike/>
          <w:sz w:val="18"/>
          <w:szCs w:val="18"/>
        </w:rPr>
        <w:t>1</w:t>
      </w:r>
      <w:r w:rsidR="001B223E" w:rsidRPr="00521ECF">
        <w:rPr>
          <w:rFonts w:ascii="Tahoma" w:hAnsi="Tahoma" w:cs="Tahoma"/>
          <w:strike/>
          <w:sz w:val="18"/>
          <w:szCs w:val="18"/>
        </w:rPr>
        <w:t>.</w:t>
      </w:r>
      <w:r w:rsidR="002C44F6" w:rsidRPr="00521ECF">
        <w:rPr>
          <w:rFonts w:ascii="Tahoma" w:hAnsi="Tahoma" w:cs="Tahoma"/>
          <w:strike/>
          <w:sz w:val="18"/>
          <w:szCs w:val="18"/>
        </w:rPr>
        <w:t xml:space="preserve"> SIWZ (za wyjątkiem 7.</w:t>
      </w:r>
      <w:r w:rsidR="004A1D04" w:rsidRPr="00521ECF">
        <w:rPr>
          <w:rFonts w:ascii="Tahoma" w:hAnsi="Tahoma" w:cs="Tahoma"/>
          <w:strike/>
          <w:sz w:val="18"/>
          <w:szCs w:val="18"/>
        </w:rPr>
        <w:t>1</w:t>
      </w:r>
      <w:r w:rsidR="002C44F6" w:rsidRPr="00521ECF">
        <w:rPr>
          <w:rFonts w:ascii="Tahoma" w:hAnsi="Tahoma" w:cs="Tahoma"/>
          <w:strike/>
          <w:sz w:val="18"/>
          <w:szCs w:val="18"/>
        </w:rPr>
        <w:t>.3</w:t>
      </w:r>
      <w:r w:rsidR="001B223E" w:rsidRPr="00521ECF">
        <w:rPr>
          <w:rFonts w:ascii="Tahoma" w:hAnsi="Tahoma" w:cs="Tahoma"/>
          <w:strike/>
          <w:sz w:val="18"/>
          <w:szCs w:val="18"/>
        </w:rPr>
        <w:t>)</w:t>
      </w:r>
    </w:p>
    <w:p w:rsidR="004D4580" w:rsidRPr="00521ECF" w:rsidRDefault="004D4580"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521ECF">
        <w:rPr>
          <w:rFonts w:ascii="Tahoma" w:hAnsi="Tahoma" w:cs="Tahoma"/>
          <w:strike/>
          <w:sz w:val="18"/>
          <w:szCs w:val="18"/>
        </w:rPr>
        <w:t>2</w:t>
      </w:r>
      <w:r w:rsidRPr="00521ECF">
        <w:rPr>
          <w:rFonts w:ascii="Tahoma" w:hAnsi="Tahoma" w:cs="Tahoma"/>
          <w:strike/>
          <w:sz w:val="18"/>
          <w:szCs w:val="18"/>
        </w:rPr>
        <w:t xml:space="preserve"> i ust. 5 pkt. 1 Ustawy.</w:t>
      </w:r>
    </w:p>
    <w:p w:rsidR="004D4580"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Wykonawca</w:t>
      </w:r>
      <w:r w:rsidR="002B5923" w:rsidRPr="00521ECF">
        <w:rPr>
          <w:rFonts w:ascii="Tahoma" w:hAnsi="Tahoma" w:cs="Tahoma"/>
          <w:strike/>
          <w:sz w:val="18"/>
          <w:szCs w:val="18"/>
        </w:rPr>
        <w:t>,</w:t>
      </w:r>
      <w:r w:rsidRPr="00521ECF">
        <w:rPr>
          <w:rFonts w:ascii="Tahoma" w:hAnsi="Tahoma" w:cs="Tahoma"/>
          <w:strike/>
          <w:sz w:val="18"/>
          <w:szCs w:val="18"/>
        </w:rPr>
        <w:t xml:space="preserve"> który polega na sytuacji finansowej lub ekonomicznej innych podmiotów, </w:t>
      </w:r>
      <w:r w:rsidRPr="00521ECF">
        <w:rPr>
          <w:rFonts w:ascii="Tahoma" w:hAnsi="Tahoma" w:cs="Tahoma"/>
          <w:b/>
          <w:strike/>
          <w:sz w:val="18"/>
          <w:szCs w:val="18"/>
        </w:rPr>
        <w:t>odpowiada solidarnie</w:t>
      </w:r>
      <w:r w:rsidRPr="00521ECF">
        <w:rPr>
          <w:rFonts w:ascii="Tahoma" w:hAnsi="Tahoma" w:cs="Tahoma"/>
          <w:strike/>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Jeżeli zdolności techniczne lub zawodowe lub sytuacja ekonomiczna lub finansowa, podmiotu, o którym mowa w pkt. 7.1</w:t>
      </w:r>
      <w:r w:rsidR="00E83ABF" w:rsidRPr="00521ECF">
        <w:rPr>
          <w:rFonts w:ascii="Tahoma" w:hAnsi="Tahoma" w:cs="Tahoma"/>
          <w:strike/>
          <w:sz w:val="18"/>
          <w:szCs w:val="18"/>
        </w:rPr>
        <w:t>2</w:t>
      </w:r>
      <w:r w:rsidRPr="00521ECF">
        <w:rPr>
          <w:rFonts w:ascii="Tahoma" w:hAnsi="Tahoma" w:cs="Tahoma"/>
          <w:strike/>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zastąpił ten podmiot innym podmiotem lub podmiotami lub</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zobowiązał się do osobistego wykon</w:t>
      </w:r>
      <w:r w:rsidR="001A2EA7" w:rsidRPr="00521ECF">
        <w:rPr>
          <w:rFonts w:ascii="Tahoma" w:hAnsi="Tahoma" w:cs="Tahoma"/>
          <w:strike/>
          <w:sz w:val="18"/>
          <w:szCs w:val="18"/>
        </w:rPr>
        <w:t>a</w:t>
      </w:r>
      <w:r w:rsidRPr="00521ECF">
        <w:rPr>
          <w:rFonts w:ascii="Tahoma" w:hAnsi="Tahoma" w:cs="Tahoma"/>
          <w:strike/>
          <w:sz w:val="18"/>
          <w:szCs w:val="18"/>
        </w:rPr>
        <w:t>nia odpowiedniej części zamówienia, jeżeli wykaże zdolności techniczne lub zawodowe lub sytuację finansową lub ekonomiczną.</w:t>
      </w:r>
    </w:p>
    <w:p w:rsidR="00710A4F" w:rsidRPr="00C762CC" w:rsidRDefault="00710A4F" w:rsidP="00F37D9F">
      <w:pPr>
        <w:numPr>
          <w:ilvl w:val="1"/>
          <w:numId w:val="25"/>
        </w:numPr>
        <w:spacing w:before="120"/>
        <w:ind w:left="567" w:hanging="567"/>
        <w:jc w:val="both"/>
        <w:rPr>
          <w:rFonts w:ascii="Tahoma" w:hAnsi="Tahoma" w:cs="Tahoma"/>
          <w:strike/>
          <w:sz w:val="18"/>
          <w:szCs w:val="18"/>
        </w:rPr>
      </w:pPr>
      <w:r w:rsidRPr="00C762CC">
        <w:rPr>
          <w:rFonts w:ascii="Tahoma" w:hAnsi="Tahoma" w:cs="Tahoma"/>
          <w:strike/>
          <w:sz w:val="18"/>
          <w:szCs w:val="18"/>
        </w:rPr>
        <w:t xml:space="preserve">Jeżeli Wykonawca złoży ofertę wspólną lub Wykonawca powołuje się na zasoby innych podmiotów w celu wykazania spełnienia </w:t>
      </w:r>
      <w:r w:rsidR="001A2EA7" w:rsidRPr="00C762CC">
        <w:rPr>
          <w:rFonts w:ascii="Tahoma" w:hAnsi="Tahoma" w:cs="Tahoma"/>
          <w:strike/>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F37D9F">
      <w:pPr>
        <w:numPr>
          <w:ilvl w:val="0"/>
          <w:numId w:val="25"/>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2C44F6" w:rsidRPr="00D456B4">
        <w:rPr>
          <w:rFonts w:ascii="Tahoma" w:hAnsi="Tahoma" w:cs="Tahoma"/>
          <w:sz w:val="18"/>
          <w:szCs w:val="18"/>
        </w:rPr>
        <w:t>,</w:t>
      </w:r>
    </w:p>
    <w:p w:rsidR="00150122" w:rsidRPr="00C762CC" w:rsidRDefault="00150122" w:rsidP="00150122">
      <w:pPr>
        <w:ind w:left="851" w:hanging="426"/>
        <w:jc w:val="both"/>
        <w:rPr>
          <w:rFonts w:ascii="Tahoma" w:hAnsi="Tahoma" w:cs="Tahoma"/>
          <w:strike/>
          <w:sz w:val="18"/>
          <w:szCs w:val="18"/>
        </w:rPr>
      </w:pPr>
      <w:r w:rsidRPr="00C762CC">
        <w:rPr>
          <w:rFonts w:ascii="Tahoma" w:hAnsi="Tahoma" w:cs="Tahoma"/>
          <w:strike/>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F37D9F">
      <w:pPr>
        <w:numPr>
          <w:ilvl w:val="0"/>
          <w:numId w:val="25"/>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787EB3" w:rsidRDefault="002C44F6" w:rsidP="00220654">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783717">
        <w:rPr>
          <w:rFonts w:ascii="Tahoma" w:hAnsi="Tahoma" w:cs="Tahoma"/>
          <w:sz w:val="18"/>
          <w:szCs w:val="18"/>
        </w:rPr>
        <w:t xml:space="preserve">Katarzyna </w:t>
      </w:r>
      <w:r w:rsidR="001E4A8F">
        <w:rPr>
          <w:rFonts w:ascii="Tahoma" w:hAnsi="Tahoma" w:cs="Tahoma"/>
          <w:sz w:val="18"/>
          <w:szCs w:val="18"/>
        </w:rPr>
        <w:t xml:space="preserve">Jagiełło </w:t>
      </w:r>
      <w:r w:rsidRPr="008541F2">
        <w:rPr>
          <w:rFonts w:ascii="Tahoma" w:hAnsi="Tahoma" w:cs="Tahoma"/>
          <w:sz w:val="18"/>
          <w:szCs w:val="18"/>
        </w:rPr>
        <w:t>tel. 571 334</w:t>
      </w:r>
      <w:r w:rsidR="00086662">
        <w:rPr>
          <w:rFonts w:ascii="Tahoma" w:hAnsi="Tahoma" w:cs="Tahoma"/>
          <w:sz w:val="18"/>
          <w:szCs w:val="18"/>
        </w:rPr>
        <w:t> </w:t>
      </w:r>
      <w:r w:rsidR="001E4A8F">
        <w:rPr>
          <w:rFonts w:ascii="Tahoma" w:hAnsi="Tahoma" w:cs="Tahoma"/>
          <w:sz w:val="18"/>
          <w:szCs w:val="18"/>
        </w:rPr>
        <w:t>858</w:t>
      </w:r>
    </w:p>
    <w:p w:rsidR="00536199" w:rsidRPr="0078282A" w:rsidRDefault="008930D5" w:rsidP="00F37D9F">
      <w:pPr>
        <w:numPr>
          <w:ilvl w:val="0"/>
          <w:numId w:val="25"/>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1E4A8F">
        <w:rPr>
          <w:rFonts w:ascii="Arial" w:hAnsi="Arial"/>
        </w:rPr>
        <w:t>3</w:t>
      </w:r>
      <w:r w:rsidR="001F76B4">
        <w:rPr>
          <w:rFonts w:ascii="Arial" w:hAnsi="Arial"/>
        </w:rPr>
        <w:t> </w:t>
      </w:r>
      <w:r w:rsidR="001E4A8F">
        <w:rPr>
          <w:rFonts w:ascii="Arial" w:hAnsi="Arial"/>
        </w:rPr>
        <w:t>9</w:t>
      </w:r>
      <w:r w:rsidR="001F76B4">
        <w:rPr>
          <w:rFonts w:ascii="Arial" w:hAnsi="Arial"/>
        </w:rPr>
        <w:t>37,00</w:t>
      </w:r>
      <w:r>
        <w:rPr>
          <w:rFonts w:ascii="Arial" w:hAnsi="Arial"/>
        </w:rPr>
        <w:t xml:space="preserve"> PLN</w:t>
      </w:r>
      <w:r>
        <w:rPr>
          <w:rFonts w:ascii="Arial" w:hAnsi="Arial"/>
          <w:bCs/>
        </w:rPr>
        <w:t xml:space="preserve"> (słownie: </w:t>
      </w:r>
      <w:r w:rsidR="001E4A8F">
        <w:rPr>
          <w:rFonts w:ascii="Arial" w:hAnsi="Arial"/>
          <w:bCs/>
        </w:rPr>
        <w:t>trzy</w:t>
      </w:r>
      <w:r w:rsidR="00C762CC">
        <w:rPr>
          <w:rFonts w:ascii="Arial" w:hAnsi="Arial"/>
          <w:bCs/>
        </w:rPr>
        <w:t xml:space="preserve"> </w:t>
      </w:r>
      <w:r w:rsidR="001E4A8F">
        <w:rPr>
          <w:rFonts w:ascii="Arial" w:hAnsi="Arial"/>
          <w:bCs/>
        </w:rPr>
        <w:t xml:space="preserve">tysiące dziewięćset </w:t>
      </w:r>
      <w:r w:rsidR="001F76B4">
        <w:rPr>
          <w:rFonts w:ascii="Arial" w:hAnsi="Arial"/>
          <w:bCs/>
        </w:rPr>
        <w:t xml:space="preserve"> trzydzieści siedem 00</w:t>
      </w:r>
      <w:r>
        <w:rPr>
          <w:rFonts w:ascii="Arial" w:hAnsi="Arial"/>
          <w:bCs/>
        </w:rPr>
        <w:t>/100). Wadia na poszczególne zadania wynoszą:</w:t>
      </w:r>
    </w:p>
    <w:tbl>
      <w:tblPr>
        <w:tblW w:w="5705" w:type="dxa"/>
        <w:tblInd w:w="212" w:type="dxa"/>
        <w:tblCellMar>
          <w:left w:w="70" w:type="dxa"/>
          <w:right w:w="70" w:type="dxa"/>
        </w:tblCellMar>
        <w:tblLook w:val="04A0" w:firstRow="1" w:lastRow="0" w:firstColumn="1" w:lastColumn="0" w:noHBand="0" w:noVBand="1"/>
      </w:tblPr>
      <w:tblGrid>
        <w:gridCol w:w="1573"/>
        <w:gridCol w:w="1668"/>
        <w:gridCol w:w="2464"/>
      </w:tblGrid>
      <w:tr w:rsidR="001E4A8F" w:rsidTr="001E4A8F">
        <w:trPr>
          <w:trHeight w:val="872"/>
        </w:trPr>
        <w:tc>
          <w:tcPr>
            <w:tcW w:w="1573" w:type="dxa"/>
            <w:tcBorders>
              <w:top w:val="single" w:sz="4" w:space="0" w:color="000000"/>
              <w:left w:val="single" w:sz="4" w:space="0" w:color="000000"/>
              <w:bottom w:val="single" w:sz="4" w:space="0" w:color="000000"/>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Lp.</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1E4A8F" w:rsidRDefault="001E4A8F">
            <w:pPr>
              <w:jc w:val="center"/>
              <w:rPr>
                <w:rFonts w:ascii="Tahoma" w:hAnsi="Tahoma"/>
                <w:b/>
                <w:sz w:val="18"/>
                <w:szCs w:val="18"/>
              </w:rPr>
            </w:pPr>
            <w:r>
              <w:rPr>
                <w:rFonts w:ascii="Tahoma" w:hAnsi="Tahoma"/>
                <w:b/>
                <w:sz w:val="18"/>
                <w:szCs w:val="18"/>
              </w:rPr>
              <w:t>Numer pakietu</w:t>
            </w:r>
          </w:p>
        </w:tc>
        <w:tc>
          <w:tcPr>
            <w:tcW w:w="2464" w:type="dxa"/>
            <w:tcBorders>
              <w:top w:val="single" w:sz="4" w:space="0" w:color="000000"/>
              <w:left w:val="nil"/>
              <w:bottom w:val="single" w:sz="4" w:space="0" w:color="000000"/>
              <w:right w:val="single" w:sz="4" w:space="0" w:color="auto"/>
            </w:tcBorders>
            <w:noWrap/>
            <w:vAlign w:val="center"/>
            <w:hideMark/>
          </w:tcPr>
          <w:p w:rsidR="001E4A8F" w:rsidRDefault="001E4A8F">
            <w:pPr>
              <w:jc w:val="center"/>
              <w:rPr>
                <w:rFonts w:ascii="Tahoma" w:hAnsi="Tahoma"/>
                <w:b/>
                <w:sz w:val="18"/>
                <w:szCs w:val="18"/>
              </w:rPr>
            </w:pPr>
            <w:r>
              <w:rPr>
                <w:rFonts w:ascii="Tahoma" w:hAnsi="Tahoma"/>
                <w:b/>
                <w:sz w:val="18"/>
                <w:szCs w:val="18"/>
              </w:rPr>
              <w:t>Wartość wadium              w PLN</w:t>
            </w:r>
          </w:p>
        </w:tc>
      </w:tr>
      <w:tr w:rsidR="001E4A8F" w:rsidTr="001E4A8F">
        <w:trPr>
          <w:trHeight w:val="304"/>
        </w:trPr>
        <w:tc>
          <w:tcPr>
            <w:tcW w:w="1573" w:type="dxa"/>
            <w:tcBorders>
              <w:top w:val="single" w:sz="4" w:space="0" w:color="000000"/>
              <w:left w:val="single" w:sz="4" w:space="0" w:color="000000"/>
              <w:bottom w:val="single" w:sz="4" w:space="0" w:color="000000"/>
              <w:right w:val="single" w:sz="4" w:space="0" w:color="000000"/>
            </w:tcBorders>
          </w:tcPr>
          <w:p w:rsidR="001E4A8F" w:rsidRDefault="001E4A8F">
            <w:pPr>
              <w:jc w:val="center"/>
              <w:rPr>
                <w:rFonts w:ascii="Tahoma" w:hAnsi="Tahoma"/>
                <w:b/>
                <w:sz w:val="18"/>
                <w:szCs w:val="18"/>
              </w:rPr>
            </w:pPr>
            <w:r>
              <w:rPr>
                <w:rFonts w:ascii="Tahoma" w:hAnsi="Tahoma"/>
                <w:b/>
                <w:sz w:val="18"/>
                <w:szCs w:val="18"/>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1</w:t>
            </w:r>
          </w:p>
        </w:tc>
        <w:tc>
          <w:tcPr>
            <w:tcW w:w="2464" w:type="dxa"/>
            <w:tcBorders>
              <w:top w:val="single" w:sz="4" w:space="0" w:color="000000"/>
              <w:left w:val="nil"/>
              <w:bottom w:val="single" w:sz="4" w:space="0" w:color="000000"/>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3530,00</w:t>
            </w:r>
          </w:p>
        </w:tc>
      </w:tr>
      <w:tr w:rsidR="001E4A8F" w:rsidTr="001E4A8F">
        <w:trPr>
          <w:trHeight w:val="294"/>
        </w:trPr>
        <w:tc>
          <w:tcPr>
            <w:tcW w:w="1573" w:type="dxa"/>
            <w:tcBorders>
              <w:top w:val="single" w:sz="4" w:space="0" w:color="000000"/>
              <w:left w:val="single" w:sz="4" w:space="0" w:color="000000"/>
              <w:bottom w:val="single" w:sz="4" w:space="0" w:color="000000"/>
              <w:right w:val="single" w:sz="4" w:space="0" w:color="000000"/>
            </w:tcBorders>
          </w:tcPr>
          <w:p w:rsidR="001E4A8F" w:rsidRDefault="001E4A8F">
            <w:pPr>
              <w:jc w:val="center"/>
              <w:rPr>
                <w:rFonts w:ascii="Tahoma" w:hAnsi="Tahoma"/>
                <w:b/>
                <w:sz w:val="18"/>
                <w:szCs w:val="18"/>
              </w:rPr>
            </w:pPr>
            <w:r>
              <w:rPr>
                <w:rFonts w:ascii="Tahoma" w:hAnsi="Tahoma"/>
                <w:b/>
                <w:sz w:val="18"/>
                <w:szCs w:val="18"/>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2.1</w:t>
            </w:r>
          </w:p>
        </w:tc>
        <w:tc>
          <w:tcPr>
            <w:tcW w:w="2464" w:type="dxa"/>
            <w:tcBorders>
              <w:top w:val="single" w:sz="4" w:space="0" w:color="000000"/>
              <w:left w:val="nil"/>
              <w:bottom w:val="single" w:sz="4" w:space="0" w:color="000000"/>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200,00</w:t>
            </w:r>
          </w:p>
        </w:tc>
      </w:tr>
      <w:tr w:rsidR="001E4A8F" w:rsidTr="001E4A8F">
        <w:trPr>
          <w:trHeight w:val="268"/>
        </w:trPr>
        <w:tc>
          <w:tcPr>
            <w:tcW w:w="1573" w:type="dxa"/>
            <w:tcBorders>
              <w:top w:val="single" w:sz="4" w:space="0" w:color="000000"/>
              <w:left w:val="single" w:sz="4" w:space="0" w:color="000000"/>
              <w:bottom w:val="single" w:sz="4" w:space="0" w:color="auto"/>
              <w:right w:val="single" w:sz="4" w:space="0" w:color="000000"/>
            </w:tcBorders>
          </w:tcPr>
          <w:p w:rsidR="001E4A8F" w:rsidRDefault="001E4A8F">
            <w:pPr>
              <w:jc w:val="center"/>
              <w:rPr>
                <w:rFonts w:ascii="Tahoma" w:hAnsi="Tahoma"/>
                <w:b/>
                <w:sz w:val="18"/>
                <w:szCs w:val="18"/>
              </w:rPr>
            </w:pPr>
            <w:r>
              <w:rPr>
                <w:rFonts w:ascii="Tahoma" w:hAnsi="Tahoma"/>
                <w:b/>
                <w:sz w:val="18"/>
                <w:szCs w:val="18"/>
              </w:rPr>
              <w:t>3</w:t>
            </w:r>
          </w:p>
        </w:tc>
        <w:tc>
          <w:tcPr>
            <w:tcW w:w="1668" w:type="dxa"/>
            <w:tcBorders>
              <w:top w:val="single" w:sz="4" w:space="0" w:color="000000"/>
              <w:left w:val="single" w:sz="4" w:space="0" w:color="000000"/>
              <w:bottom w:val="single" w:sz="4" w:space="0" w:color="auto"/>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2.2</w:t>
            </w:r>
          </w:p>
        </w:tc>
        <w:tc>
          <w:tcPr>
            <w:tcW w:w="2464" w:type="dxa"/>
            <w:tcBorders>
              <w:top w:val="single" w:sz="4" w:space="0" w:color="000000"/>
              <w:left w:val="nil"/>
              <w:bottom w:val="single" w:sz="4" w:space="0" w:color="auto"/>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45,00</w:t>
            </w:r>
          </w:p>
        </w:tc>
      </w:tr>
      <w:tr w:rsidR="001E4A8F" w:rsidTr="001E4A8F">
        <w:trPr>
          <w:trHeight w:val="288"/>
        </w:trPr>
        <w:tc>
          <w:tcPr>
            <w:tcW w:w="1573" w:type="dxa"/>
            <w:tcBorders>
              <w:top w:val="single" w:sz="4" w:space="0" w:color="auto"/>
              <w:left w:val="single" w:sz="4" w:space="0" w:color="000000"/>
              <w:bottom w:val="single" w:sz="4" w:space="0" w:color="auto"/>
              <w:right w:val="single" w:sz="4" w:space="0" w:color="000000"/>
            </w:tcBorders>
          </w:tcPr>
          <w:p w:rsidR="001E4A8F" w:rsidRDefault="001E4A8F">
            <w:pPr>
              <w:jc w:val="center"/>
              <w:rPr>
                <w:rFonts w:ascii="Tahoma" w:hAnsi="Tahoma"/>
                <w:b/>
                <w:sz w:val="18"/>
                <w:szCs w:val="18"/>
              </w:rPr>
            </w:pPr>
            <w:r>
              <w:rPr>
                <w:rFonts w:ascii="Tahoma" w:hAnsi="Tahoma"/>
                <w:b/>
                <w:sz w:val="18"/>
                <w:szCs w:val="18"/>
              </w:rPr>
              <w:t>4</w:t>
            </w:r>
          </w:p>
        </w:tc>
        <w:tc>
          <w:tcPr>
            <w:tcW w:w="1668" w:type="dxa"/>
            <w:tcBorders>
              <w:top w:val="single" w:sz="4" w:space="0" w:color="auto"/>
              <w:left w:val="single" w:sz="4" w:space="0" w:color="000000"/>
              <w:bottom w:val="single" w:sz="4" w:space="0" w:color="auto"/>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2.3</w:t>
            </w:r>
          </w:p>
        </w:tc>
        <w:tc>
          <w:tcPr>
            <w:tcW w:w="2464" w:type="dxa"/>
            <w:tcBorders>
              <w:top w:val="single" w:sz="4" w:space="0" w:color="auto"/>
              <w:left w:val="nil"/>
              <w:bottom w:val="single" w:sz="4" w:space="0" w:color="auto"/>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37,00</w:t>
            </w:r>
          </w:p>
        </w:tc>
      </w:tr>
      <w:tr w:rsidR="001E4A8F" w:rsidTr="001E4A8F">
        <w:trPr>
          <w:trHeight w:val="288"/>
        </w:trPr>
        <w:tc>
          <w:tcPr>
            <w:tcW w:w="1573" w:type="dxa"/>
            <w:tcBorders>
              <w:top w:val="single" w:sz="4" w:space="0" w:color="auto"/>
              <w:left w:val="single" w:sz="4" w:space="0" w:color="000000"/>
              <w:bottom w:val="single" w:sz="4" w:space="0" w:color="auto"/>
              <w:right w:val="single" w:sz="4" w:space="0" w:color="000000"/>
            </w:tcBorders>
          </w:tcPr>
          <w:p w:rsidR="001E4A8F" w:rsidRDefault="001E4A8F">
            <w:pPr>
              <w:jc w:val="center"/>
              <w:rPr>
                <w:rFonts w:ascii="Tahoma" w:hAnsi="Tahoma"/>
                <w:b/>
                <w:sz w:val="18"/>
                <w:szCs w:val="18"/>
              </w:rPr>
            </w:pPr>
            <w:r>
              <w:rPr>
                <w:rFonts w:ascii="Tahoma" w:hAnsi="Tahoma"/>
                <w:b/>
                <w:sz w:val="18"/>
                <w:szCs w:val="18"/>
              </w:rPr>
              <w:t>5</w:t>
            </w:r>
          </w:p>
        </w:tc>
        <w:tc>
          <w:tcPr>
            <w:tcW w:w="1668" w:type="dxa"/>
            <w:tcBorders>
              <w:top w:val="single" w:sz="4" w:space="0" w:color="auto"/>
              <w:left w:val="single" w:sz="4" w:space="0" w:color="000000"/>
              <w:bottom w:val="single" w:sz="4" w:space="0" w:color="auto"/>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2.4</w:t>
            </w:r>
          </w:p>
        </w:tc>
        <w:tc>
          <w:tcPr>
            <w:tcW w:w="2464" w:type="dxa"/>
            <w:tcBorders>
              <w:top w:val="single" w:sz="4" w:space="0" w:color="auto"/>
              <w:left w:val="nil"/>
              <w:bottom w:val="single" w:sz="4" w:space="0" w:color="auto"/>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10,00</w:t>
            </w:r>
          </w:p>
        </w:tc>
      </w:tr>
      <w:tr w:rsidR="001E4A8F" w:rsidTr="001E4A8F">
        <w:trPr>
          <w:trHeight w:val="288"/>
        </w:trPr>
        <w:tc>
          <w:tcPr>
            <w:tcW w:w="1573" w:type="dxa"/>
            <w:tcBorders>
              <w:top w:val="single" w:sz="4" w:space="0" w:color="auto"/>
              <w:left w:val="single" w:sz="4" w:space="0" w:color="000000"/>
              <w:bottom w:val="single" w:sz="4" w:space="0" w:color="auto"/>
              <w:right w:val="single" w:sz="4" w:space="0" w:color="000000"/>
            </w:tcBorders>
          </w:tcPr>
          <w:p w:rsidR="001E4A8F" w:rsidRDefault="001E4A8F">
            <w:pPr>
              <w:jc w:val="center"/>
              <w:rPr>
                <w:rFonts w:ascii="Tahoma" w:hAnsi="Tahoma"/>
                <w:b/>
                <w:sz w:val="18"/>
                <w:szCs w:val="18"/>
              </w:rPr>
            </w:pPr>
            <w:r>
              <w:rPr>
                <w:rFonts w:ascii="Tahoma" w:hAnsi="Tahoma"/>
                <w:b/>
                <w:sz w:val="18"/>
                <w:szCs w:val="18"/>
              </w:rPr>
              <w:t>6</w:t>
            </w:r>
          </w:p>
        </w:tc>
        <w:tc>
          <w:tcPr>
            <w:tcW w:w="1668" w:type="dxa"/>
            <w:tcBorders>
              <w:top w:val="single" w:sz="4" w:space="0" w:color="auto"/>
              <w:left w:val="single" w:sz="4" w:space="0" w:color="000000"/>
              <w:bottom w:val="single" w:sz="4" w:space="0" w:color="auto"/>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2.5</w:t>
            </w:r>
          </w:p>
        </w:tc>
        <w:tc>
          <w:tcPr>
            <w:tcW w:w="2464" w:type="dxa"/>
            <w:tcBorders>
              <w:top w:val="single" w:sz="4" w:space="0" w:color="auto"/>
              <w:left w:val="nil"/>
              <w:bottom w:val="single" w:sz="4" w:space="0" w:color="auto"/>
              <w:right w:val="single" w:sz="4" w:space="0" w:color="auto"/>
            </w:tcBorders>
            <w:noWrap/>
            <w:vAlign w:val="center"/>
          </w:tcPr>
          <w:p w:rsidR="001E4A8F" w:rsidRDefault="00DC3F33">
            <w:pPr>
              <w:jc w:val="center"/>
              <w:rPr>
                <w:rFonts w:ascii="Tahoma" w:hAnsi="Tahoma"/>
                <w:b/>
                <w:sz w:val="18"/>
                <w:szCs w:val="18"/>
              </w:rPr>
            </w:pPr>
            <w:r>
              <w:rPr>
                <w:rFonts w:ascii="Tahoma" w:hAnsi="Tahoma"/>
                <w:b/>
                <w:sz w:val="18"/>
                <w:szCs w:val="18"/>
              </w:rPr>
              <w:t>19,00</w:t>
            </w:r>
          </w:p>
        </w:tc>
      </w:tr>
      <w:tr w:rsidR="001E4A8F" w:rsidTr="001E4A8F">
        <w:trPr>
          <w:trHeight w:val="288"/>
        </w:trPr>
        <w:tc>
          <w:tcPr>
            <w:tcW w:w="1573" w:type="dxa"/>
            <w:tcBorders>
              <w:top w:val="single" w:sz="4" w:space="0" w:color="auto"/>
              <w:left w:val="single" w:sz="4" w:space="0" w:color="000000"/>
              <w:bottom w:val="single" w:sz="4" w:space="0" w:color="auto"/>
              <w:right w:val="single" w:sz="4" w:space="0" w:color="000000"/>
            </w:tcBorders>
          </w:tcPr>
          <w:p w:rsidR="001E4A8F" w:rsidRDefault="001E4A8F">
            <w:pPr>
              <w:jc w:val="center"/>
              <w:rPr>
                <w:rFonts w:ascii="Tahoma" w:hAnsi="Tahoma"/>
                <w:b/>
                <w:sz w:val="18"/>
                <w:szCs w:val="18"/>
              </w:rPr>
            </w:pPr>
            <w:r>
              <w:rPr>
                <w:rFonts w:ascii="Tahoma" w:hAnsi="Tahoma"/>
                <w:b/>
                <w:sz w:val="18"/>
                <w:szCs w:val="18"/>
              </w:rPr>
              <w:t>7</w:t>
            </w:r>
          </w:p>
        </w:tc>
        <w:tc>
          <w:tcPr>
            <w:tcW w:w="1668" w:type="dxa"/>
            <w:tcBorders>
              <w:top w:val="single" w:sz="4" w:space="0" w:color="auto"/>
              <w:left w:val="single" w:sz="4" w:space="0" w:color="000000"/>
              <w:bottom w:val="single" w:sz="4" w:space="0" w:color="auto"/>
              <w:right w:val="single" w:sz="4" w:space="0" w:color="000000"/>
            </w:tcBorders>
            <w:vAlign w:val="center"/>
          </w:tcPr>
          <w:p w:rsidR="001E4A8F" w:rsidRDefault="001E4A8F">
            <w:pPr>
              <w:jc w:val="center"/>
              <w:rPr>
                <w:rFonts w:ascii="Tahoma" w:hAnsi="Tahoma"/>
                <w:b/>
                <w:sz w:val="18"/>
                <w:szCs w:val="18"/>
              </w:rPr>
            </w:pPr>
            <w:r>
              <w:rPr>
                <w:rFonts w:ascii="Tahoma" w:hAnsi="Tahoma"/>
                <w:b/>
                <w:sz w:val="18"/>
                <w:szCs w:val="18"/>
              </w:rPr>
              <w:t>2.6</w:t>
            </w:r>
          </w:p>
        </w:tc>
        <w:tc>
          <w:tcPr>
            <w:tcW w:w="2464" w:type="dxa"/>
            <w:tcBorders>
              <w:top w:val="single" w:sz="4" w:space="0" w:color="auto"/>
              <w:left w:val="nil"/>
              <w:bottom w:val="single" w:sz="4" w:space="0" w:color="auto"/>
              <w:right w:val="single" w:sz="4" w:space="0" w:color="auto"/>
            </w:tcBorders>
            <w:noWrap/>
            <w:vAlign w:val="center"/>
          </w:tcPr>
          <w:p w:rsidR="001E4A8F" w:rsidRDefault="001E4A8F">
            <w:pPr>
              <w:jc w:val="center"/>
              <w:rPr>
                <w:rFonts w:ascii="Tahoma" w:hAnsi="Tahoma"/>
                <w:b/>
                <w:sz w:val="18"/>
                <w:szCs w:val="18"/>
              </w:rPr>
            </w:pPr>
            <w:r>
              <w:rPr>
                <w:rFonts w:ascii="Tahoma" w:hAnsi="Tahoma"/>
                <w:b/>
                <w:sz w:val="18"/>
                <w:szCs w:val="18"/>
              </w:rPr>
              <w:t>96,00</w:t>
            </w:r>
          </w:p>
        </w:tc>
      </w:tr>
    </w:tbl>
    <w:p w:rsidR="00220654" w:rsidRDefault="00220654"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t>
      </w:r>
      <w:r w:rsidR="00220654">
        <w:rPr>
          <w:rFonts w:ascii="Tahoma" w:hAnsi="Tahoma" w:cs="Tahoma"/>
          <w:sz w:val="18"/>
          <w:szCs w:val="18"/>
        </w:rPr>
        <w:t xml:space="preserve">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sidR="00220654">
        <w:rPr>
          <w:rFonts w:ascii="Tahoma" w:hAnsi="Tahoma" w:cs="Tahoma"/>
          <w:b/>
          <w:sz w:val="18"/>
          <w:szCs w:val="18"/>
        </w:rPr>
        <w:t>oryginału</w:t>
      </w:r>
      <w:r w:rsidR="00220654">
        <w:rPr>
          <w:rFonts w:ascii="Tahoma" w:hAnsi="Tahoma" w:cs="Tahoma"/>
          <w:sz w:val="18"/>
          <w:szCs w:val="18"/>
        </w:rPr>
        <w:t xml:space="preserve"> </w:t>
      </w:r>
      <w:r w:rsidR="00220654">
        <w:rPr>
          <w:rFonts w:ascii="Tahoma" w:hAnsi="Tahoma"/>
          <w:b/>
          <w:sz w:val="18"/>
        </w:rPr>
        <w:t xml:space="preserve">w </w:t>
      </w:r>
      <w:r w:rsidR="00220654">
        <w:rPr>
          <w:rFonts w:ascii="Tahoma" w:hAnsi="Tahoma" w:cs="Tahoma"/>
          <w:b/>
          <w:sz w:val="18"/>
          <w:szCs w:val="18"/>
        </w:rPr>
        <w:t>składanej ofercie przetargowej</w:t>
      </w:r>
      <w:r w:rsidR="00220654">
        <w:rPr>
          <w:rFonts w:ascii="Tahoma" w:hAnsi="Tahoma"/>
          <w:b/>
          <w:sz w:val="18"/>
        </w:rPr>
        <w:t xml:space="preserve">. </w:t>
      </w:r>
      <w:r w:rsidR="00220654">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735FE9">
        <w:rPr>
          <w:rFonts w:ascii="Tahoma" w:hAnsi="Tahoma" w:cs="Tahoma"/>
          <w:b/>
          <w:sz w:val="18"/>
          <w:szCs w:val="18"/>
        </w:rPr>
        <w:t>3</w:t>
      </w:r>
      <w:r>
        <w:rPr>
          <w:rFonts w:ascii="Tahoma" w:hAnsi="Tahoma" w:cs="Tahoma"/>
          <w:b/>
          <w:sz w:val="18"/>
          <w:szCs w:val="18"/>
        </w:rPr>
        <w:t>/ZP/20</w:t>
      </w:r>
      <w:r w:rsidR="00735FE9">
        <w:rPr>
          <w:rFonts w:ascii="Tahoma" w:hAnsi="Tahoma" w:cs="Tahoma"/>
          <w:b/>
          <w:sz w:val="18"/>
          <w:szCs w:val="18"/>
        </w:rPr>
        <w:t>20</w:t>
      </w:r>
      <w:r>
        <w:rPr>
          <w:rFonts w:ascii="Tahoma" w:hAnsi="Tahoma" w:cs="Tahoma"/>
          <w:b/>
          <w:sz w:val="18"/>
          <w:szCs w:val="18"/>
        </w:rPr>
        <w:t>”</w:t>
      </w:r>
    </w:p>
    <w:p w:rsidR="005F3CFE" w:rsidRDefault="00BB7A10" w:rsidP="00BB7A10">
      <w:pPr>
        <w:ind w:left="567" w:hanging="567"/>
        <w:jc w:val="both"/>
        <w:rPr>
          <w:rFonts w:ascii="Tahoma" w:hAnsi="Tahoma" w:cs="Tahoma"/>
          <w:sz w:val="18"/>
          <w:szCs w:val="18"/>
        </w:rPr>
      </w:pPr>
      <w:r>
        <w:rPr>
          <w:rFonts w:ascii="Tahoma" w:hAnsi="Tahoma" w:cs="Tahoma"/>
          <w:sz w:val="18"/>
          <w:szCs w:val="18"/>
        </w:rPr>
        <w:tab/>
      </w:r>
    </w:p>
    <w:p w:rsidR="00BB7A10" w:rsidRDefault="005F3CFE" w:rsidP="00BB7A10">
      <w:pPr>
        <w:ind w:left="567" w:hanging="567"/>
        <w:jc w:val="both"/>
        <w:rPr>
          <w:rFonts w:ascii="Tahoma" w:hAnsi="Tahoma" w:cs="Tahoma"/>
          <w:sz w:val="18"/>
          <w:szCs w:val="18"/>
        </w:rPr>
      </w:pPr>
      <w:r>
        <w:rPr>
          <w:rFonts w:ascii="Tahoma" w:hAnsi="Tahoma" w:cs="Tahoma"/>
          <w:sz w:val="18"/>
          <w:szCs w:val="18"/>
        </w:rPr>
        <w:t xml:space="preserve">          </w:t>
      </w:r>
      <w:r w:rsidR="00BB7A10">
        <w:rPr>
          <w:rFonts w:ascii="Tahoma" w:hAnsi="Tahoma" w:cs="Tahoma"/>
          <w:sz w:val="18"/>
          <w:szCs w:val="18"/>
        </w:rPr>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Pr="00D5395C" w:rsidRDefault="001C392E" w:rsidP="00396A81">
      <w:pPr>
        <w:pStyle w:val="Akapitzlist"/>
        <w:ind w:left="1134" w:hanging="708"/>
        <w:jc w:val="both"/>
        <w:rPr>
          <w:rFonts w:ascii="Tahoma" w:hAnsi="Tahoma" w:cs="Tahoma"/>
          <w:strike/>
          <w:sz w:val="18"/>
          <w:szCs w:val="18"/>
        </w:rPr>
      </w:pPr>
      <w:r w:rsidRPr="00D5395C">
        <w:rPr>
          <w:rFonts w:ascii="Tahoma" w:hAnsi="Tahoma" w:cs="Tahoma"/>
          <w:strike/>
          <w:sz w:val="18"/>
          <w:szCs w:val="18"/>
        </w:rPr>
        <w:t>12.8.</w:t>
      </w:r>
      <w:r w:rsidR="008C49DF" w:rsidRPr="00D5395C">
        <w:rPr>
          <w:rFonts w:ascii="Tahoma" w:hAnsi="Tahoma" w:cs="Tahoma"/>
          <w:strike/>
          <w:sz w:val="18"/>
          <w:szCs w:val="18"/>
        </w:rPr>
        <w:t>4</w:t>
      </w:r>
      <w:r w:rsidRPr="00D5395C">
        <w:rPr>
          <w:rFonts w:ascii="Tahoma" w:hAnsi="Tahoma" w:cs="Tahoma"/>
          <w:strike/>
          <w:sz w:val="18"/>
          <w:szCs w:val="18"/>
        </w:rPr>
        <w:t xml:space="preserve">. załącznik nr 7 do SIWZ – zobowiązanie podmiotów trzecich (jeżeli dotyczy) </w:t>
      </w:r>
      <w:r w:rsidR="00FA67E0" w:rsidRPr="00D5395C">
        <w:rPr>
          <w:rFonts w:ascii="Tahoma" w:hAnsi="Tahoma" w:cs="Tahoma"/>
          <w:strike/>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3"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3"/>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4"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4"/>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5"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5"/>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6"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6"/>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7"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7"/>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w:t>
      </w:r>
      <w:r w:rsidR="001A4CC6">
        <w:rPr>
          <w:rFonts w:ascii="Tahoma" w:hAnsi="Tahoma"/>
          <w:sz w:val="18"/>
        </w:rPr>
        <w:t xml:space="preserve"> Katarzyna Jagiełło</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1A4CC6">
        <w:rPr>
          <w:rFonts w:ascii="Tahoma" w:hAnsi="Tahoma"/>
          <w:color w:val="0070C0"/>
          <w:sz w:val="18"/>
          <w:u w:val="single"/>
        </w:rPr>
        <w:t>3</w:t>
      </w:r>
      <w:r w:rsidRPr="008C4971">
        <w:rPr>
          <w:rFonts w:ascii="Tahoma" w:hAnsi="Tahoma" w:cs="Tahoma"/>
          <w:color w:val="0070C0"/>
          <w:sz w:val="18"/>
          <w:szCs w:val="18"/>
          <w:u w:val="single"/>
        </w:rPr>
        <w:t>/ZP/20</w:t>
      </w:r>
      <w:r w:rsidR="001A4CC6">
        <w:rPr>
          <w:rFonts w:ascii="Tahoma" w:hAnsi="Tahoma" w:cs="Tahoma"/>
          <w:color w:val="0070C0"/>
          <w:sz w:val="18"/>
          <w:szCs w:val="18"/>
          <w:u w:val="single"/>
        </w:rPr>
        <w:t>20</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E1507C">
        <w:rPr>
          <w:rFonts w:ascii="Tahoma" w:hAnsi="Tahoma"/>
          <w:b/>
          <w:color w:val="0070C0"/>
          <w:sz w:val="18"/>
        </w:rPr>
        <w:t>20</w:t>
      </w:r>
      <w:r w:rsidR="000949E2" w:rsidRPr="00E1507C">
        <w:rPr>
          <w:rFonts w:ascii="Tahoma" w:hAnsi="Tahoma"/>
          <w:b/>
          <w:color w:val="0070C0"/>
          <w:sz w:val="18"/>
        </w:rPr>
        <w:t>20</w:t>
      </w:r>
      <w:r w:rsidR="00CC28B8" w:rsidRPr="00E1507C">
        <w:rPr>
          <w:rFonts w:ascii="Tahoma" w:hAnsi="Tahoma"/>
          <w:b/>
          <w:color w:val="0070C0"/>
          <w:sz w:val="18"/>
        </w:rPr>
        <w:t>-</w:t>
      </w:r>
      <w:r w:rsidR="000949E2" w:rsidRPr="00E1507C">
        <w:rPr>
          <w:rFonts w:ascii="Tahoma" w:hAnsi="Tahoma"/>
          <w:b/>
          <w:color w:val="0070C0"/>
          <w:sz w:val="18"/>
        </w:rPr>
        <w:t>01</w:t>
      </w:r>
      <w:r w:rsidR="00CE61C9" w:rsidRPr="00E1507C">
        <w:rPr>
          <w:rFonts w:ascii="Tahoma" w:hAnsi="Tahoma"/>
          <w:b/>
          <w:color w:val="0070C0"/>
          <w:sz w:val="18"/>
        </w:rPr>
        <w:t>-</w:t>
      </w:r>
      <w:r w:rsidR="000949E2" w:rsidRPr="00E1507C">
        <w:rPr>
          <w:rFonts w:ascii="Tahoma" w:hAnsi="Tahoma"/>
          <w:b/>
          <w:color w:val="0070C0"/>
          <w:sz w:val="18"/>
        </w:rPr>
        <w:t>31</w:t>
      </w:r>
      <w:r w:rsidR="00836E3D" w:rsidRPr="001A4CC6">
        <w:rPr>
          <w:rFonts w:ascii="Tahoma" w:hAnsi="Tahoma"/>
          <w:b/>
          <w:color w:val="FF0000"/>
          <w:sz w:val="18"/>
        </w:rPr>
        <w:t xml:space="preserve"> </w:t>
      </w:r>
      <w:r w:rsidR="00DB3E22" w:rsidRPr="000F3D4D">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w:t>
      </w:r>
      <w:bookmarkStart w:id="8" w:name="_GoBack"/>
      <w:bookmarkEnd w:id="8"/>
      <w:r w:rsidR="001E5F0E" w:rsidRPr="000F3D4D">
        <w:rPr>
          <w:rFonts w:ascii="Tahoma" w:hAnsi="Tahoma" w:cs="Tahoma"/>
          <w:sz w:val="18"/>
          <w:szCs w:val="18"/>
        </w:rPr>
        <w:t>cy bez otwierania, po upływie terminu przewidzianego na wniesienie odwołania.</w:t>
      </w:r>
      <w:r w:rsidR="00A23DB8" w:rsidRPr="000F3D4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0F3D4D">
        <w:rPr>
          <w:rFonts w:ascii="Tahoma" w:hAnsi="Tahoma" w:cs="Tahoma"/>
          <w:b/>
          <w:color w:val="0070C0"/>
          <w:sz w:val="18"/>
          <w:szCs w:val="18"/>
        </w:rPr>
        <w:t xml:space="preserve">dnia </w:t>
      </w:r>
      <w:r w:rsidR="00CC28B8" w:rsidRPr="00E1507C">
        <w:rPr>
          <w:rFonts w:ascii="Tahoma" w:hAnsi="Tahoma"/>
          <w:b/>
          <w:color w:val="0070C0"/>
          <w:sz w:val="18"/>
        </w:rPr>
        <w:t>20</w:t>
      </w:r>
      <w:r w:rsidR="000949E2" w:rsidRPr="00E1507C">
        <w:rPr>
          <w:rFonts w:ascii="Tahoma" w:hAnsi="Tahoma"/>
          <w:b/>
          <w:color w:val="0070C0"/>
          <w:sz w:val="18"/>
        </w:rPr>
        <w:t>20</w:t>
      </w:r>
      <w:r w:rsidR="00CC28B8" w:rsidRPr="00E1507C">
        <w:rPr>
          <w:rFonts w:ascii="Tahoma" w:hAnsi="Tahoma"/>
          <w:b/>
          <w:color w:val="0070C0"/>
          <w:sz w:val="18"/>
        </w:rPr>
        <w:t>-</w:t>
      </w:r>
      <w:r w:rsidR="000949E2" w:rsidRPr="00E1507C">
        <w:rPr>
          <w:rFonts w:ascii="Tahoma" w:hAnsi="Tahoma"/>
          <w:b/>
          <w:color w:val="0070C0"/>
          <w:sz w:val="18"/>
        </w:rPr>
        <w:t>01</w:t>
      </w:r>
      <w:r w:rsidR="00CE61C9" w:rsidRPr="00E1507C">
        <w:rPr>
          <w:rFonts w:ascii="Tahoma" w:hAnsi="Tahoma"/>
          <w:b/>
          <w:color w:val="0070C0"/>
          <w:sz w:val="18"/>
        </w:rPr>
        <w:t>-</w:t>
      </w:r>
      <w:r w:rsidR="000949E2" w:rsidRPr="00E1507C">
        <w:rPr>
          <w:rFonts w:ascii="Tahoma" w:hAnsi="Tahoma"/>
          <w:b/>
          <w:color w:val="0070C0"/>
          <w:sz w:val="18"/>
        </w:rPr>
        <w:t>31</w:t>
      </w:r>
      <w:r w:rsidR="00E802FF" w:rsidRPr="001A4CC6">
        <w:rPr>
          <w:rFonts w:ascii="Tahoma" w:hAnsi="Tahoma"/>
          <w:b/>
          <w:color w:val="FF0000"/>
          <w:sz w:val="18"/>
        </w:rPr>
        <w:t xml:space="preserve"> </w:t>
      </w:r>
      <w:r w:rsidR="00487430" w:rsidRPr="000F3D4D">
        <w:rPr>
          <w:rFonts w:ascii="Tahoma" w:hAnsi="Tahoma" w:cs="Tahoma"/>
          <w:b/>
          <w:color w:val="0070C0"/>
          <w:sz w:val="18"/>
          <w:szCs w:val="18"/>
        </w:rPr>
        <w:t xml:space="preserve">o godz. </w:t>
      </w:r>
      <w:r w:rsidR="00B34484" w:rsidRPr="000F3D4D">
        <w:rPr>
          <w:rFonts w:ascii="Tahoma" w:hAnsi="Tahoma" w:cs="Tahoma"/>
          <w:b/>
          <w:color w:val="0070C0"/>
          <w:sz w:val="18"/>
          <w:szCs w:val="18"/>
        </w:rPr>
        <w:t>12</w:t>
      </w:r>
      <w:r w:rsidR="00487430" w:rsidRPr="000F3D4D">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9"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9"/>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3"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4"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C3716F" w:rsidRPr="00556C73">
        <w:rPr>
          <w:rFonts w:ascii="Tahoma" w:hAnsi="Tahoma" w:cs="Tahoma"/>
          <w:b/>
          <w:color w:val="0070C0"/>
          <w:sz w:val="18"/>
          <w:szCs w:val="18"/>
        </w:rPr>
        <w:t>Sukcesywne dostawy nici chirurgicznych</w:t>
      </w:r>
      <w:r w:rsidR="001A4CC6">
        <w:rPr>
          <w:rFonts w:ascii="Tahoma" w:hAnsi="Tahoma" w:cs="Tahoma"/>
          <w:b/>
          <w:color w:val="0070C0"/>
          <w:sz w:val="18"/>
          <w:szCs w:val="18"/>
        </w:rPr>
        <w:t xml:space="preserve"> oraz</w:t>
      </w:r>
      <w:r w:rsidR="00C3716F" w:rsidRPr="00556C73">
        <w:rPr>
          <w:rFonts w:ascii="Tahoma" w:hAnsi="Tahoma" w:cs="Tahoma"/>
          <w:b/>
          <w:color w:val="0070C0"/>
          <w:sz w:val="18"/>
          <w:szCs w:val="18"/>
        </w:rPr>
        <w:t xml:space="preserve"> różnych materiałów szewnych</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1A4CC6">
        <w:rPr>
          <w:rFonts w:ascii="Tahoma" w:hAnsi="Tahoma" w:cs="Tahoma"/>
          <w:b/>
          <w:bCs/>
          <w:sz w:val="18"/>
          <w:szCs w:val="18"/>
        </w:rPr>
        <w:t>3</w:t>
      </w:r>
      <w:r w:rsidRPr="008C4971">
        <w:rPr>
          <w:rFonts w:ascii="Tahoma" w:hAnsi="Tahoma" w:cs="Tahoma"/>
          <w:b/>
          <w:bCs/>
          <w:sz w:val="18"/>
          <w:szCs w:val="18"/>
        </w:rPr>
        <w:t>/ZP/20</w:t>
      </w:r>
      <w:r w:rsidR="001A4CC6">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sidR="001A4CC6">
        <w:rPr>
          <w:rFonts w:ascii="Tahoma" w:hAnsi="Tahoma" w:cs="Tahoma"/>
          <w:bCs/>
          <w:sz w:val="18"/>
          <w:szCs w:val="18"/>
        </w:rPr>
        <w:t xml:space="preserve"> </w:t>
      </w:r>
      <w:r w:rsidR="001A4CC6" w:rsidRPr="001A4CC6">
        <w:rPr>
          <w:rFonts w:ascii="Tahoma" w:hAnsi="Tahoma" w:cs="Tahoma"/>
          <w:b/>
          <w:bCs/>
          <w:sz w:val="18"/>
          <w:szCs w:val="18"/>
        </w:rPr>
        <w:t>Katarzyna Jagiełło Specjalista ds. Zamówień Publicznych</w:t>
      </w:r>
      <w:r w:rsidR="001A4CC6">
        <w:rPr>
          <w:rFonts w:ascii="Tahoma" w:hAnsi="Tahoma" w:cs="Tahoma"/>
          <w:b/>
          <w:bCs/>
          <w:sz w:val="18"/>
          <w:szCs w:val="18"/>
        </w:rPr>
        <w:t xml:space="preserve"> </w:t>
      </w:r>
      <w:r w:rsidR="001A4CC6">
        <w:rPr>
          <w:rFonts w:ascii="Tahoma" w:hAnsi="Tahoma" w:cs="Tahoma"/>
          <w:bCs/>
          <w:sz w:val="18"/>
          <w:szCs w:val="18"/>
        </w:rPr>
        <w:t>t</w:t>
      </w:r>
      <w:r>
        <w:rPr>
          <w:rFonts w:ascii="Tahoma" w:hAnsi="Tahoma" w:cs="Tahoma"/>
          <w:b/>
          <w:sz w:val="18"/>
          <w:szCs w:val="18"/>
        </w:rPr>
        <w:t>el. 571 334 </w:t>
      </w:r>
      <w:r w:rsidR="001A4CC6">
        <w:rPr>
          <w:rFonts w:ascii="Tahoma" w:hAnsi="Tahoma" w:cs="Tahoma"/>
          <w:b/>
          <w:sz w:val="18"/>
          <w:szCs w:val="18"/>
        </w:rPr>
        <w:t>858</w:t>
      </w:r>
    </w:p>
    <w:sectPr w:rsidR="002B6039" w:rsidSect="00DE6CB5">
      <w:headerReference w:type="default" r:id="rId15"/>
      <w:footerReference w:type="even" r:id="rId16"/>
      <w:footerReference w:type="default" r:id="rId17"/>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9F" w:rsidRDefault="00F37D9F">
      <w:r>
        <w:separator/>
      </w:r>
    </w:p>
  </w:endnote>
  <w:endnote w:type="continuationSeparator" w:id="0">
    <w:p w:rsidR="00F37D9F" w:rsidRDefault="00F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Default="00F37D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37D9F" w:rsidRDefault="00F37D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3B7A9F" w:rsidRDefault="00F37D9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F37D9F" w:rsidRDefault="00F37D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9F" w:rsidRDefault="00F37D9F">
      <w:r>
        <w:separator/>
      </w:r>
    </w:p>
  </w:footnote>
  <w:footnote w:type="continuationSeparator" w:id="0">
    <w:p w:rsidR="00F37D9F" w:rsidRDefault="00F3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CD3493" w:rsidRDefault="00F37D9F">
    <w:pPr>
      <w:pStyle w:val="Nagwek"/>
      <w:rPr>
        <w:rFonts w:ascii="Tahoma" w:hAnsi="Tahoma" w:cs="Tahoma"/>
        <w:sz w:val="18"/>
        <w:szCs w:val="18"/>
      </w:rPr>
    </w:pPr>
    <w:r w:rsidRPr="00CD3493">
      <w:rPr>
        <w:rFonts w:ascii="Tahoma" w:hAnsi="Tahoma" w:cs="Tahoma"/>
        <w:sz w:val="18"/>
        <w:szCs w:val="18"/>
      </w:rPr>
      <w:t xml:space="preserve">Nr sprawy: </w:t>
    </w:r>
    <w:r w:rsidR="0028003B">
      <w:rPr>
        <w:rFonts w:ascii="Tahoma" w:hAnsi="Tahoma" w:cs="Tahoma"/>
        <w:sz w:val="18"/>
        <w:szCs w:val="18"/>
      </w:rPr>
      <w:t>3</w:t>
    </w:r>
    <w:r w:rsidRPr="00CD3493">
      <w:rPr>
        <w:rFonts w:ascii="Tahoma" w:hAnsi="Tahoma" w:cs="Tahoma"/>
        <w:sz w:val="18"/>
        <w:szCs w:val="18"/>
      </w:rPr>
      <w:t>/ZP/20</w:t>
    </w:r>
    <w:r w:rsidR="0028003B">
      <w:rPr>
        <w:rFonts w:ascii="Tahoma" w:hAnsi="Tahoma" w:cs="Tahoma"/>
        <w:sz w:val="18"/>
        <w:szCs w:val="18"/>
      </w:rPr>
      <w:t>20</w:t>
    </w:r>
  </w:p>
  <w:p w:rsidR="00F37D9F" w:rsidRDefault="00F37D9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19"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775"/>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49E2"/>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33"/>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4CC6"/>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4A8F"/>
    <w:rsid w:val="001E5F0E"/>
    <w:rsid w:val="001E7070"/>
    <w:rsid w:val="001E7E82"/>
    <w:rsid w:val="001F0012"/>
    <w:rsid w:val="001F1B50"/>
    <w:rsid w:val="001F2464"/>
    <w:rsid w:val="001F3AFB"/>
    <w:rsid w:val="001F439D"/>
    <w:rsid w:val="001F4B3D"/>
    <w:rsid w:val="001F5339"/>
    <w:rsid w:val="001F5B64"/>
    <w:rsid w:val="001F5F7A"/>
    <w:rsid w:val="001F70F8"/>
    <w:rsid w:val="001F76B4"/>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6715"/>
    <w:rsid w:val="002176D8"/>
    <w:rsid w:val="00220561"/>
    <w:rsid w:val="0022065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003B"/>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0D62"/>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C55"/>
    <w:rsid w:val="005F2064"/>
    <w:rsid w:val="005F2570"/>
    <w:rsid w:val="005F2BBC"/>
    <w:rsid w:val="005F3CFE"/>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4521"/>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4AE7"/>
    <w:rsid w:val="00636AC3"/>
    <w:rsid w:val="0063765F"/>
    <w:rsid w:val="00640672"/>
    <w:rsid w:val="00640678"/>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06FEC"/>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5FE9"/>
    <w:rsid w:val="007362DD"/>
    <w:rsid w:val="007376DA"/>
    <w:rsid w:val="00737AA7"/>
    <w:rsid w:val="00737C60"/>
    <w:rsid w:val="00740441"/>
    <w:rsid w:val="007414A8"/>
    <w:rsid w:val="007415E9"/>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3717"/>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307A"/>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2D69"/>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207B"/>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D7F85"/>
    <w:rsid w:val="00AF33BD"/>
    <w:rsid w:val="00AF3C16"/>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2459D"/>
    <w:rsid w:val="00D2504B"/>
    <w:rsid w:val="00D250A0"/>
    <w:rsid w:val="00D26DDE"/>
    <w:rsid w:val="00D276F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F33"/>
    <w:rsid w:val="00DC4DD4"/>
    <w:rsid w:val="00DC66B9"/>
    <w:rsid w:val="00DC6BBE"/>
    <w:rsid w:val="00DD095B"/>
    <w:rsid w:val="00DD0D38"/>
    <w:rsid w:val="00DD2747"/>
    <w:rsid w:val="00DD2A9E"/>
    <w:rsid w:val="00DD317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507C"/>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8D9D670"/>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9475897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06841969">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1944922068">
      <w:bodyDiv w:val="1"/>
      <w:marLeft w:val="0"/>
      <w:marRight w:val="0"/>
      <w:marTop w:val="0"/>
      <w:marBottom w:val="0"/>
      <w:divBdr>
        <w:top w:val="none" w:sz="0" w:space="0" w:color="auto"/>
        <w:left w:val="none" w:sz="0" w:space="0" w:color="auto"/>
        <w:bottom w:val="none" w:sz="0" w:space="0" w:color="auto"/>
        <w:right w:val="none" w:sz="0" w:space="0" w:color="auto"/>
      </w:divBdr>
    </w:div>
    <w:div w:id="1963221389">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zgorzel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iod@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0564-D573-4D47-933F-FFC2B0F6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15</Pages>
  <Words>8221</Words>
  <Characters>53952</Characters>
  <Application>Microsoft Office Word</Application>
  <DocSecurity>0</DocSecurity>
  <Lines>449</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62049</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44</cp:revision>
  <cp:lastPrinted>2020-01-21T09:15:00Z</cp:lastPrinted>
  <dcterms:created xsi:type="dcterms:W3CDTF">2019-04-04T08:21:00Z</dcterms:created>
  <dcterms:modified xsi:type="dcterms:W3CDTF">2020-01-21T09:16:00Z</dcterms:modified>
</cp:coreProperties>
</file>